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918.0" w:type="dxa"/>
        <w:jc w:val="left"/>
        <w:tblInd w:w="0.0" w:type="dxa"/>
        <w:tblLayout w:type="fixed"/>
        <w:tblLook w:val="0000"/>
      </w:tblPr>
      <w:tblGrid>
        <w:gridCol w:w="1807"/>
        <w:gridCol w:w="13639"/>
        <w:gridCol w:w="236"/>
        <w:gridCol w:w="236"/>
        <w:tblGridChange w:id="0">
          <w:tblGrid>
            <w:gridCol w:w="1807"/>
            <w:gridCol w:w="13639"/>
            <w:gridCol w:w="236"/>
            <w:gridCol w:w="23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Порівняльна таблиця </w:t>
            </w:r>
          </w:p>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проекту рішення ХIV позачергового з'їзду суддів України "Про внесення змін до Регламенту</w:t>
            </w:r>
          </w:p>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призначення та звільнення суддів Конституційного Суду України</w:t>
            </w:r>
          </w:p>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 посад за квотою з’їзду суддів України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bl>
      <w:tblPr>
        <w:tblStyle w:val="Table2"/>
        <w:tblW w:w="15168.0" w:type="dxa"/>
        <w:jc w:val="left"/>
        <w:tblInd w:w="-22.0" w:type="dxa"/>
        <w:tblLayout w:type="fixed"/>
        <w:tblLook w:val="0000"/>
      </w:tblPr>
      <w:tblGrid>
        <w:gridCol w:w="5103"/>
        <w:gridCol w:w="4962"/>
        <w:gridCol w:w="5103"/>
        <w:tblGridChange w:id="0">
          <w:tblGrid>
            <w:gridCol w:w="5103"/>
            <w:gridCol w:w="4962"/>
            <w:gridCol w:w="5103"/>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Rule="auto"/>
              <w:ind w:firstLine="213"/>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Чинна редакція Регламенту</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Rule="auto"/>
              <w:ind w:firstLine="184"/>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Нова редакція, схвалена рішенням  Ради суддів України № 67 від 03.11.2017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Rule="auto"/>
              <w:ind w:left="-56" w:firstLine="304"/>
              <w:contextualSpacing w:val="0"/>
              <w:jc w:val="center"/>
              <w:rPr>
                <w:rFonts w:ascii="Times New Roman" w:cs="Times New Roman" w:eastAsia="Times New Roman" w:hAnsi="Times New Roman"/>
                <w:b w:val="1"/>
                <w:sz w:val="20"/>
                <w:szCs w:val="20"/>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Пропозиції делегатів ХIV позачергового з'їзду суддів України </w:t>
            </w:r>
          </w:p>
        </w:tc>
      </w:tr>
    </w:tbl>
    <w:p w:rsidR="00000000" w:rsidDel="00000000" w:rsidP="00000000" w:rsidRDefault="00000000" w:rsidRPr="00000000">
      <w:pPr>
        <w:spacing w:after="0" w:lineRule="auto"/>
        <w:ind w:firstLine="215"/>
        <w:contextualSpacing w:val="0"/>
        <w:rPr>
          <w:rFonts w:ascii="Times New Roman" w:cs="Times New Roman" w:eastAsia="Times New Roman" w:hAnsi="Times New Roman"/>
          <w:sz w:val="20"/>
          <w:szCs w:val="20"/>
        </w:rPr>
      </w:pPr>
      <w:r w:rsidDel="00000000" w:rsidR="00000000" w:rsidRPr="00000000">
        <w:rPr>
          <w:rtl w:val="0"/>
        </w:rPr>
      </w:r>
    </w:p>
    <w:bookmarkStart w:colFirst="0" w:colLast="0" w:name="30j0zll" w:id="1"/>
    <w:bookmarkEnd w:id="1"/>
    <w:bookmarkStart w:colFirst="0" w:colLast="0" w:name="1fob9te" w:id="2"/>
    <w:bookmarkEnd w:id="2"/>
    <w:bookmarkStart w:colFirst="0" w:colLast="0" w:name="3znysh7" w:id="3"/>
    <w:bookmarkEnd w:id="3"/>
    <w:bookmarkStart w:colFirst="0" w:colLast="0" w:name="2et92p0" w:id="4"/>
    <w:bookmarkEnd w:id="4"/>
    <w:bookmarkStart w:colFirst="0" w:colLast="0" w:name="tyjcwt" w:id="5"/>
    <w:bookmarkEnd w:id="5"/>
    <w:bookmarkStart w:colFirst="0" w:colLast="0" w:name="3dy6vkm" w:id="6"/>
    <w:bookmarkEnd w:id="6"/>
    <w:bookmarkStart w:colFirst="0" w:colLast="0" w:name="1t3h5sf" w:id="7"/>
    <w:bookmarkEnd w:id="7"/>
    <w:bookmarkStart w:colFirst="0" w:colLast="0" w:name="4d34og8" w:id="8"/>
    <w:bookmarkEnd w:id="8"/>
    <w:bookmarkStart w:colFirst="0" w:colLast="0" w:name="2s8eyo1" w:id="9"/>
    <w:bookmarkEnd w:id="9"/>
    <w:bookmarkStart w:colFirst="0" w:colLast="0" w:name="17dp8vu" w:id="10"/>
    <w:bookmarkEnd w:id="10"/>
    <w:bookmarkStart w:colFirst="0" w:colLast="0" w:name="3rdcrjn" w:id="11"/>
    <w:bookmarkEnd w:id="11"/>
    <w:bookmarkStart w:colFirst="0" w:colLast="0" w:name="26in1rg" w:id="12"/>
    <w:bookmarkEnd w:id="12"/>
    <w:bookmarkStart w:colFirst="0" w:colLast="0" w:name="lnxbz9" w:id="13"/>
    <w:bookmarkEnd w:id="13"/>
    <w:tbl>
      <w:tblPr>
        <w:tblStyle w:val="Table3"/>
        <w:tblW w:w="15176.0" w:type="dxa"/>
        <w:jc w:val="left"/>
        <w:tblInd w:w="-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4962"/>
        <w:gridCol w:w="5084"/>
        <w:tblGridChange w:id="0">
          <w:tblGrid>
            <w:gridCol w:w="5130"/>
            <w:gridCol w:w="4962"/>
            <w:gridCol w:w="5084"/>
          </w:tblGrid>
        </w:tblGridChange>
      </w:tblGrid>
      <w:tr>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РЕГЛАМЕНТ</w:t>
            </w:r>
          </w:p>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призначення </w:t>
            </w:r>
            <w:r w:rsidDel="00000000" w:rsidR="00000000" w:rsidRPr="00000000">
              <w:rPr>
                <w:rFonts w:ascii="Times New Roman" w:cs="Times New Roman" w:eastAsia="Times New Roman" w:hAnsi="Times New Roman"/>
                <w:b w:val="1"/>
                <w:strike w:val="1"/>
                <w:sz w:val="20"/>
                <w:szCs w:val="20"/>
                <w:rtl w:val="0"/>
              </w:rPr>
              <w:t xml:space="preserve">та звільнення</w:t>
            </w:r>
            <w:r w:rsidDel="00000000" w:rsidR="00000000" w:rsidRPr="00000000">
              <w:rPr>
                <w:rFonts w:ascii="Times New Roman" w:cs="Times New Roman" w:eastAsia="Times New Roman" w:hAnsi="Times New Roman"/>
                <w:b w:val="1"/>
                <w:sz w:val="20"/>
                <w:szCs w:val="20"/>
                <w:rtl w:val="0"/>
              </w:rPr>
              <w:t xml:space="preserve"> суддів Конституційного Суду України</w:t>
            </w:r>
          </w:p>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 посад за квотою з’їзду суддів України</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РЕГЛАМЕНТ</w:t>
            </w:r>
          </w:p>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призначення суддів Конституційного Суду України</w:t>
            </w:r>
          </w:p>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 посади за квотою з’їзду суддів України</w:t>
            </w:r>
            <w:r w:rsidDel="00000000" w:rsidR="00000000" w:rsidRPr="00000000">
              <w:rPr>
                <w:rtl w:val="0"/>
              </w:rPr>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b w:val="1"/>
                <w:smallCaps w:val="1"/>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Розділ І</w:t>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Розділ І</w:t>
            </w:r>
            <w:r w:rsidDel="00000000" w:rsidR="00000000" w:rsidRPr="00000000">
              <w:rPr>
                <w:rtl w:val="0"/>
              </w:rPr>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Загальні положення</w:t>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Загальні положення</w:t>
            </w:r>
            <w:r w:rsidDel="00000000" w:rsidR="00000000" w:rsidRPr="00000000">
              <w:rPr>
                <w:rtl w:val="0"/>
              </w:rPr>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2400" w:hRule="atLeast"/>
        </w:trP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w:t>
              <w:tab/>
              <w:t xml:space="preserve">Цей Регламент установлює порядок і основні правила діяльності з'їзду суддів України (далі - З'їзд) щодо призначення </w:t>
            </w:r>
            <w:r w:rsidDel="00000000" w:rsidR="00000000" w:rsidRPr="00000000">
              <w:rPr>
                <w:rFonts w:ascii="Times New Roman" w:cs="Times New Roman" w:eastAsia="Times New Roman" w:hAnsi="Times New Roman"/>
                <w:strike w:val="1"/>
                <w:color w:val="000000"/>
                <w:sz w:val="20"/>
                <w:szCs w:val="20"/>
                <w:rtl w:val="0"/>
              </w:rPr>
              <w:t xml:space="preserve">та звільнення</w:t>
            </w:r>
            <w:r w:rsidDel="00000000" w:rsidR="00000000" w:rsidRPr="00000000">
              <w:rPr>
                <w:rFonts w:ascii="Times New Roman" w:cs="Times New Roman" w:eastAsia="Times New Roman" w:hAnsi="Times New Roman"/>
                <w:color w:val="000000"/>
                <w:sz w:val="20"/>
                <w:szCs w:val="20"/>
                <w:rtl w:val="0"/>
              </w:rPr>
              <w:t xml:space="preserve"> суддів Конституційного Суду України.</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Регламент розроблено на виконання рішення ХІІ позачергового з'їзду суддів України від 20 червня 2014 року та на підставі Конституції України, Закону України «Про Конституційний Суд України», Закону України «Про судоустрій і статус суддів», інших нормативно-правових актів.</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1.1. </w:t>
              <w:tab/>
              <w:t xml:space="preserve">Цей Регламент установлює порядок і основні правила діяльності з'їзду суддів України (далі - З'їзд) щодо призначення суддів Конституційного Суду України.</w:t>
            </w:r>
            <w:r w:rsidDel="00000000" w:rsidR="00000000" w:rsidRPr="00000000">
              <w:rPr>
                <w:rtl w:val="0"/>
              </w:rPr>
            </w:r>
          </w:p>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Регламент розроблено на виконання рішення ХІІ позачергового з'їзду суддів України від 20 червня 2014 року та на підставі Конституції України, Закону України «Про Конституційний Суд України», Закону України «Про судоустрій і статус суддів», інших нормативно-правових актів.</w:t>
            </w:r>
            <w:r w:rsidDel="00000000" w:rsidR="00000000" w:rsidRPr="00000000">
              <w:rPr>
                <w:rtl w:val="0"/>
              </w:rPr>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w:t>
              <w:tab/>
              <w:t xml:space="preserve">З’їзд у порядку та на підставах, визначених Конституцією України, Законом України «Про Конституційний Суд України», Законом України «Про судоустрій і статус суддів» та цим Регламентом, призначає шість суддів Конституційного Суду України </w:t>
            </w:r>
            <w:r w:rsidDel="00000000" w:rsidR="00000000" w:rsidRPr="00000000">
              <w:rPr>
                <w:rFonts w:ascii="Times New Roman" w:cs="Times New Roman" w:eastAsia="Times New Roman" w:hAnsi="Times New Roman"/>
                <w:strike w:val="1"/>
                <w:color w:val="000000"/>
                <w:sz w:val="20"/>
                <w:szCs w:val="20"/>
                <w:rtl w:val="0"/>
              </w:rPr>
              <w:t xml:space="preserve">та звільняє їх із посад.</w:t>
            </w:r>
            <w:r w:rsidDel="00000000" w:rsidR="00000000" w:rsidRPr="00000000">
              <w:rPr>
                <w:rtl w:val="0"/>
              </w:rPr>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 </w:t>
              <w:tab/>
              <w:t xml:space="preserve">З’їзд у порядку та на підставах, визначених Конституцією України, Законом України «Про Конституційний Суд України», Законом України «Про судоустрій і статус суддів» та цим Регламентом, призначає шість суддів Конституційного Суду України.</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1.3.</w:t>
              <w:tab/>
              <w:t xml:space="preserve">Рада суддів України у разі виникнення підстав для винесення на розгляд З’їзду питання про звільнення судді протягом трьох місяців повинна скликати З’їзд та внести до порядку денного одночасно питання про обрання судді Конституційного Суду  України за квотою З’їзду на звільнену посаду.</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1.4.</w:t>
              <w:tab/>
              <w:t xml:space="preserve">Суддя Конституційного Суду України може бути звільнений з підстав, зазначених у Конституції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b w:val="1"/>
                <w:sz w:val="20"/>
                <w:szCs w:val="20"/>
              </w:rPr>
            </w:pPr>
            <w:r w:rsidDel="00000000" w:rsidR="00000000" w:rsidRPr="00000000">
              <w:rPr>
                <w:rtl w:val="0"/>
              </w:rPr>
            </w:r>
          </w:p>
        </w:tc>
      </w:tr>
      <w:tr>
        <w:trPr>
          <w:trHeight w:val="5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Розділ ІІ</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Розділ ІІ</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Призначення суддів Конституційного Суду України</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Призначення суддів Конституційного Суду України</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1380" w:hRule="atLeast"/>
        </w:trPr>
        <w:tc>
          <w:tcPr/>
          <w:p w:rsidR="00000000" w:rsidDel="00000000" w:rsidP="00000000" w:rsidRDefault="00000000" w:rsidRPr="00000000">
            <w:pPr>
              <w:tabs>
                <w:tab w:val="left" w:pos="653"/>
              </w:tabs>
              <w:spacing w:after="0" w:line="240" w:lineRule="auto"/>
              <w:ind w:firstLine="215"/>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 </w:t>
              <w:tab/>
            </w:r>
            <w:r w:rsidDel="00000000" w:rsidR="00000000" w:rsidRPr="00000000">
              <w:rPr>
                <w:rFonts w:ascii="Times New Roman" w:cs="Times New Roman" w:eastAsia="Times New Roman" w:hAnsi="Times New Roman"/>
                <w:strike w:val="1"/>
                <w:color w:val="000000"/>
                <w:sz w:val="20"/>
                <w:szCs w:val="20"/>
                <w:rtl w:val="0"/>
              </w:rPr>
              <w:t xml:space="preserve">Висунення кандидатів відбувається з дня прийняття рішення про проведення З'їзду з проектом порядку денного, який включає питання про призначення чи звільнення судді (суддів) Конституційного Суду України.</w:t>
            </w:r>
            <w:r w:rsidDel="00000000" w:rsidR="00000000" w:rsidRPr="00000000">
              <w:rPr>
                <w:rtl w:val="0"/>
              </w:rPr>
            </w:r>
          </w:p>
        </w:tc>
        <w:tc>
          <w:tcPr/>
          <w:p w:rsidR="00000000" w:rsidDel="00000000" w:rsidP="00000000" w:rsidRDefault="00000000" w:rsidRPr="00000000">
            <w:pPr>
              <w:spacing w:after="0" w:line="240" w:lineRule="auto"/>
              <w:ind w:firstLine="626"/>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Відбір кандидатур на посаду судді Конституційного Суду України здійснюється на конкурсних засадах у визначеному законом порядку.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Підготовку питання щодо розгляду на конкурсних засадах кандидатур на посаду судді Конституційного Суду З’їздом  здійснює Рада суддів України.</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626"/>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Про початок конкурсу для відбору кандидатур на посаду судді Конституційного Суду оголошується на офіційному веб-сайті Ради суддів України не пізніше ніж за три місяці до дня закінчення строку повноважень чи досягнення граничного віку перебування на посаді судді Конституційного Суду або не пізніше одного місяця з дня виникнення вакансії на посаду судді Конституційного Суду в разі, якщо повноваження судді Конституційного Суду припинено чи його звільнено з посади з підстав, передбачених </w:t>
            </w:r>
            <w:hyperlink r:id="rId5">
              <w:r w:rsidDel="00000000" w:rsidR="00000000" w:rsidRPr="00000000">
                <w:rPr>
                  <w:rFonts w:ascii="Times New Roman" w:cs="Times New Roman" w:eastAsia="Times New Roman" w:hAnsi="Times New Roman"/>
                  <w:color w:val="0000ff"/>
                  <w:sz w:val="20"/>
                  <w:szCs w:val="20"/>
                  <w:u w:val="single"/>
                  <w:rtl w:val="0"/>
                </w:rPr>
                <w:t xml:space="preserve">статтею 149-</w:t>
              </w:r>
            </w:hyperlink>
            <w:hyperlink r:id="rId6">
              <w:r w:rsidDel="00000000" w:rsidR="00000000" w:rsidRPr="00000000">
                <w:rPr>
                  <w:rFonts w:ascii="Times New Roman" w:cs="Times New Roman" w:eastAsia="Times New Roman" w:hAnsi="Times New Roman"/>
                  <w:color w:val="0000ff"/>
                  <w:sz w:val="20"/>
                  <w:szCs w:val="20"/>
                  <w:u w:val="single"/>
                  <w:vertAlign w:val="superscript"/>
                  <w:rtl w:val="0"/>
                </w:rPr>
                <w:t xml:space="preserve">1</w:t>
              </w:r>
            </w:hyperlink>
            <w:r w:rsidDel="00000000" w:rsidR="00000000" w:rsidRPr="00000000">
              <w:rPr>
                <w:rFonts w:ascii="Times New Roman" w:cs="Times New Roman" w:eastAsia="Times New Roman" w:hAnsi="Times New Roman"/>
                <w:sz w:val="20"/>
                <w:szCs w:val="20"/>
                <w:rtl w:val="0"/>
              </w:rPr>
              <w:t xml:space="preserve"> Конституції України.</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484"/>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Рада суддів України упродовж одного місяця з дня оголошення про початок конкурсу в межах загального строку проведення конкурсу, передбаченого частиною шостою статті 12 Закону України «Про Конституційний Суд України», приймає заяви від осіб, які виявили намір обійняти посаду судді Конституційного Суду і відповідають встановленим </w:t>
            </w:r>
            <w:hyperlink r:id="rId7">
              <w:r w:rsidDel="00000000" w:rsidR="00000000" w:rsidRPr="00000000">
                <w:rPr>
                  <w:rFonts w:ascii="Times New Roman" w:cs="Times New Roman" w:eastAsia="Times New Roman" w:hAnsi="Times New Roman"/>
                  <w:color w:val="0000ff"/>
                  <w:sz w:val="20"/>
                  <w:szCs w:val="20"/>
                  <w:u w:val="single"/>
                  <w:rtl w:val="0"/>
                </w:rPr>
                <w:t xml:space="preserve">Конституцією України</w:t>
              </w:r>
            </w:hyperlink>
            <w:r w:rsidDel="00000000" w:rsidR="00000000" w:rsidRPr="00000000">
              <w:rPr>
                <w:rFonts w:ascii="Times New Roman" w:cs="Times New Roman" w:eastAsia="Times New Roman" w:hAnsi="Times New Roman"/>
                <w:sz w:val="20"/>
                <w:szCs w:val="20"/>
                <w:rtl w:val="0"/>
              </w:rPr>
              <w:t xml:space="preserve"> вимогам.</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заяви особи, яка виявила намір обійняти посаду судді Конституційного Суду, додаються: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автобіографія;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мотиваційний лист, у якому викладаються мотиви бути призначеним суддею Конституційного Суду;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копія документа, що посвідчує особу та підтверджує громадянство України;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документи, що підтверджують стаж професійної діяльності у сфері права;</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декларація особи, уповноваженої на виконання функцій держави або місцевого самоврядування, декларація родинних зв’язків судді та декларація доброчесності судді;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копія диплома про вищу юридичну освіту (з додатками), здобуту в Україні, та/або копії документів про вищу юридичну освіту, здобуту за кордоном, разом із копіями документів, що підтверджують їх визнання в Україні, а також копії документів про науковий ступінь, вчене звання (за наявності);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письмова згода на обробку персональних даних та оприлюднення копій документів, визначених цією статтею, крім копії документа, визначеного пунктом 3 цієї частини;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заява про проведення перевірки, передбаченої </w:t>
            </w:r>
            <w:hyperlink r:id="rId8">
              <w:r w:rsidDel="00000000" w:rsidR="00000000" w:rsidRPr="00000000">
                <w:rPr>
                  <w:rFonts w:ascii="Times New Roman" w:cs="Times New Roman" w:eastAsia="Times New Roman" w:hAnsi="Times New Roman"/>
                  <w:color w:val="0000ff"/>
                  <w:sz w:val="20"/>
                  <w:szCs w:val="20"/>
                  <w:u w:val="single"/>
                  <w:rtl w:val="0"/>
                </w:rPr>
                <w:t xml:space="preserve">Законом України</w:t>
              </w:r>
            </w:hyperlink>
            <w:r w:rsidDel="00000000" w:rsidR="00000000" w:rsidRPr="00000000">
              <w:rPr>
                <w:rFonts w:ascii="Times New Roman" w:cs="Times New Roman" w:eastAsia="Times New Roman" w:hAnsi="Times New Roman"/>
                <w:sz w:val="20"/>
                <w:szCs w:val="20"/>
                <w:rtl w:val="0"/>
              </w:rPr>
              <w:t xml:space="preserve"> "Про очищення влади", або висновок за результатами такої перевірки (за його наявності);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письмова згода на проведення спеціальної перевірки відповідно до закону;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інші документи, передбачені </w:t>
            </w:r>
            <w:hyperlink r:id="rId9">
              <w:r w:rsidDel="00000000" w:rsidR="00000000" w:rsidRPr="00000000">
                <w:rPr>
                  <w:rFonts w:ascii="Times New Roman" w:cs="Times New Roman" w:eastAsia="Times New Roman" w:hAnsi="Times New Roman"/>
                  <w:color w:val="0000ff"/>
                  <w:sz w:val="20"/>
                  <w:szCs w:val="20"/>
                  <w:u w:val="single"/>
                  <w:rtl w:val="0"/>
                </w:rPr>
                <w:t xml:space="preserve">Законом України</w:t>
              </w:r>
            </w:hyperlink>
            <w:r w:rsidDel="00000000" w:rsidR="00000000" w:rsidRPr="00000000">
              <w:rPr>
                <w:rFonts w:ascii="Times New Roman" w:cs="Times New Roman" w:eastAsia="Times New Roman" w:hAnsi="Times New Roman"/>
                <w:sz w:val="20"/>
                <w:szCs w:val="20"/>
                <w:rtl w:val="0"/>
              </w:rPr>
              <w:t xml:space="preserve"> "Про запобігання корупції" для проведення спеціальної перевірки.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Рада суддів України після закінчення строку прийняття заяв, передбачених цією частиною, встановлює відповідність осіб, які виявили намір обійняти посаду судді Конституційного Суду, встановленим </w:t>
            </w:r>
            <w:hyperlink r:id="rId10">
              <w:r w:rsidDel="00000000" w:rsidR="00000000" w:rsidRPr="00000000">
                <w:rPr>
                  <w:rFonts w:ascii="Times New Roman" w:cs="Times New Roman" w:eastAsia="Times New Roman" w:hAnsi="Times New Roman"/>
                  <w:color w:val="0000ff"/>
                  <w:sz w:val="20"/>
                  <w:szCs w:val="20"/>
                  <w:u w:val="single"/>
                  <w:rtl w:val="0"/>
                </w:rPr>
                <w:t xml:space="preserve">Конституцією України</w:t>
              </w:r>
            </w:hyperlink>
            <w:r w:rsidDel="00000000" w:rsidR="00000000" w:rsidRPr="00000000">
              <w:rPr>
                <w:rFonts w:ascii="Times New Roman" w:cs="Times New Roman" w:eastAsia="Times New Roman" w:hAnsi="Times New Roman"/>
                <w:sz w:val="20"/>
                <w:szCs w:val="20"/>
                <w:rtl w:val="0"/>
              </w:rPr>
              <w:t xml:space="preserve"> та Законом України «Про Конституційний Суд України» вимогам.</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Щодо кандидатів, які відповідають зазначеним вимогам, оприлюднюються їх автобіографії та мотиваційні листи, а також проводиться спеціальна перевірка у порядку, передбаченому </w:t>
            </w:r>
            <w:hyperlink r:id="rId11">
              <w:r w:rsidDel="00000000" w:rsidR="00000000" w:rsidRPr="00000000">
                <w:rPr>
                  <w:rFonts w:ascii="Times New Roman" w:cs="Times New Roman" w:eastAsia="Times New Roman" w:hAnsi="Times New Roman"/>
                  <w:color w:val="0000ff"/>
                  <w:sz w:val="20"/>
                  <w:szCs w:val="20"/>
                  <w:u w:val="single"/>
                  <w:rtl w:val="0"/>
                </w:rPr>
                <w:t xml:space="preserve">Законом України</w:t>
              </w:r>
            </w:hyperlink>
            <w:r w:rsidDel="00000000" w:rsidR="00000000" w:rsidRPr="00000000">
              <w:rPr>
                <w:rFonts w:ascii="Times New Roman" w:cs="Times New Roman" w:eastAsia="Times New Roman" w:hAnsi="Times New Roman"/>
                <w:sz w:val="20"/>
                <w:szCs w:val="20"/>
                <w:rtl w:val="0"/>
              </w:rPr>
              <w:t xml:space="preserve"> "Про запобігання корупції". Стосовно кандидатів, призначення яких здійснюється З’їздом, організовує проведення спеціальної перевірки Рада суддів України.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результатами вивчення документів та відомостей, наданих кандидатами, та співбесіди з ними Рада суддів України ухвалює рекомендацію щодо кожного кандидата на посаду судді Конституційного Суду.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Рада суддів України складає список кандидатів, рекомендованих на посаду судді Конституційного Суду, на підставі яких З’їзд приймає відповідні рішення. Такі списки мають містити кількість кандидатур, яка щонайменше втричі перевищує кількість вакансій.</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pPr>
              <w:shd w:fill="ffffff" w:val="clear"/>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Загальний строк проведення конкурсу для відбору кандидатур на посаду судді Конституційного Суду становить два місяці.</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Процедура висунення кандидатів на посаду судді Конституційного Суду України завершується не пізніше, ніж за десять днів до дня проведення З'їзду.</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980" w:hRule="atLeast"/>
        </w:trP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 </w:t>
              <w:tab/>
            </w:r>
            <w:r w:rsidDel="00000000" w:rsidR="00000000" w:rsidRPr="00000000">
              <w:rPr>
                <w:rFonts w:ascii="Times New Roman" w:cs="Times New Roman" w:eastAsia="Times New Roman" w:hAnsi="Times New Roman"/>
                <w:strike w:val="1"/>
                <w:color w:val="000000"/>
                <w:sz w:val="20"/>
                <w:szCs w:val="20"/>
                <w:rtl w:val="0"/>
              </w:rPr>
              <w:t xml:space="preserve">Кандидат на посаду судді Конституційного Суду України  (далі – кандидат) повинен відповідати вимогам, установленим частиною третьою статті 148 Конституції України, а саме:</w:t>
            </w:r>
          </w:p>
          <w:p w:rsidR="00000000" w:rsidDel="00000000" w:rsidP="00000000" w:rsidRDefault="00000000" w:rsidRPr="00000000">
            <w:pPr>
              <w:numPr>
                <w:ilvl w:val="0"/>
                <w:numId w:val="1"/>
              </w:numPr>
              <w:spacing w:after="0" w:before="0" w:line="240" w:lineRule="auto"/>
              <w:ind w:left="720" w:firstLine="215"/>
              <w:contextualSpacing w:val="1"/>
              <w:jc w:val="both"/>
              <w:rPr>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мати громадянство України;</w:t>
            </w:r>
          </w:p>
          <w:p w:rsidR="00000000" w:rsidDel="00000000" w:rsidP="00000000" w:rsidRDefault="00000000" w:rsidRPr="00000000">
            <w:pPr>
              <w:numPr>
                <w:ilvl w:val="0"/>
                <w:numId w:val="1"/>
              </w:numPr>
              <w:spacing w:after="0" w:before="0" w:line="240" w:lineRule="auto"/>
              <w:ind w:left="720" w:firstLine="215"/>
              <w:contextualSpacing w:val="1"/>
              <w:jc w:val="both"/>
              <w:rPr>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досягти сорока років на день проведення З’їзду, на якому планується розгляд питання про обрання судді Конституційного Суду України;</w:t>
            </w:r>
          </w:p>
          <w:p w:rsidR="00000000" w:rsidDel="00000000" w:rsidP="00000000" w:rsidRDefault="00000000" w:rsidRPr="00000000">
            <w:pPr>
              <w:numPr>
                <w:ilvl w:val="0"/>
                <w:numId w:val="1"/>
              </w:numPr>
              <w:tabs>
                <w:tab w:val="left" w:pos="708"/>
                <w:tab w:val="left" w:pos="1416"/>
                <w:tab w:val="left" w:pos="2124"/>
                <w:tab w:val="left" w:pos="2832"/>
                <w:tab w:val="left" w:pos="3540"/>
                <w:tab w:val="center" w:pos="4961"/>
              </w:tabs>
              <w:spacing w:after="0" w:before="0" w:line="240" w:lineRule="auto"/>
              <w:ind w:left="720" w:firstLine="215"/>
              <w:contextualSpacing w:val="1"/>
              <w:jc w:val="both"/>
              <w:rPr>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мати вищу юридичну освіту;</w:t>
              <w:tab/>
            </w:r>
          </w:p>
          <w:p w:rsidR="00000000" w:rsidDel="00000000" w:rsidP="00000000" w:rsidRDefault="00000000" w:rsidRPr="00000000">
            <w:pPr>
              <w:numPr>
                <w:ilvl w:val="0"/>
                <w:numId w:val="1"/>
              </w:numPr>
              <w:spacing w:after="0" w:before="0" w:line="240" w:lineRule="auto"/>
              <w:ind w:left="720" w:firstLine="215"/>
              <w:contextualSpacing w:val="1"/>
              <w:jc w:val="both"/>
              <w:rPr>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мати стаж практичної, наукової або педагогічної роботи за фахом не менше як десять років;</w:t>
            </w:r>
          </w:p>
          <w:p w:rsidR="00000000" w:rsidDel="00000000" w:rsidP="00000000" w:rsidRDefault="00000000" w:rsidRPr="00000000">
            <w:pPr>
              <w:numPr>
                <w:ilvl w:val="0"/>
                <w:numId w:val="1"/>
              </w:numPr>
              <w:spacing w:after="0" w:before="0" w:line="240" w:lineRule="auto"/>
              <w:ind w:left="720" w:firstLine="215"/>
              <w:contextualSpacing w:val="1"/>
              <w:jc w:val="both"/>
              <w:rPr>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володіти державною мовою;</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 </w:t>
              <w:tab/>
              <w:t xml:space="preserve">Кандидат на посаду судді Конституційного Суду України повинен відповідати вимогам, установленим частиною четвертою статті 148 Конституції України, а саме:</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мати громадянство України;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досягти на день призначення сорока років;</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мати  вищу юридичну освіту і, високі моральні якості та бути правником із визнаним рівнем компетентності;</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мати стаж професійної діяльності у сфері права щонайменше п’ятнадцять років;</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володіти державною мовою.</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numPr>
                <w:ilvl w:val="0"/>
                <w:numId w:val="1"/>
              </w:numPr>
              <w:spacing w:after="0" w:line="240" w:lineRule="auto"/>
              <w:ind w:left="720" w:firstLine="215"/>
              <w:contextualSpacing w:val="1"/>
              <w:jc w:val="both"/>
              <w:rPr>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проживати в Україні протягом останніх двадцяти років.</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left="200" w:firstLine="0"/>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2.3.</w:t>
              <w:tab/>
              <w:t xml:space="preserve">Право пропонувати кандидатів на посаду судді Конституційного Суду України, які призначаються З'їздом, мають делегати З’їзду за погодженням з:</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709"/>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загальними зборами суддів місцевих, апеляційних, вищих спеціалізованих судів, Верховного Суду України та Конституційного Суду України;</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709"/>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конференцією суддів загальних, адміністративних та господарських судів.</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Делегат З’їзду може запропонувати свою кандидатуру на посаду судді Конституційного Суду України шляхом самовисування.</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2.4.</w:t>
            </w:r>
            <w:r w:rsidDel="00000000" w:rsidR="00000000" w:rsidRPr="00000000">
              <w:rPr>
                <w:rFonts w:ascii="Times New Roman" w:cs="Times New Roman" w:eastAsia="Times New Roman" w:hAnsi="Times New Roman"/>
                <w:b w:val="1"/>
                <w:strike w:val="1"/>
                <w:color w:val="000000"/>
                <w:sz w:val="20"/>
                <w:szCs w:val="20"/>
                <w:rtl w:val="0"/>
              </w:rPr>
              <w:tab/>
            </w:r>
            <w:r w:rsidDel="00000000" w:rsidR="00000000" w:rsidRPr="00000000">
              <w:rPr>
                <w:rFonts w:ascii="Times New Roman" w:cs="Times New Roman" w:eastAsia="Times New Roman" w:hAnsi="Times New Roman"/>
                <w:strike w:val="1"/>
                <w:color w:val="000000"/>
                <w:sz w:val="20"/>
                <w:szCs w:val="20"/>
                <w:rtl w:val="0"/>
              </w:rPr>
              <w:t xml:space="preserve">Кандидати на посаду судді Конституційного Суду України пропонуються із числа осіб, які мають бездоганну професійну й особисту репутацію та високий фаховий рівень. </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Кандидат може бути запропонований лише за його згодою. </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 може відкликати свою кандидатуру в будь-який час до внесення його прізвища до бюлетеня для таємного голосування.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 Кандидат може відкликати свою кандидатуру в будь-який час до внесення його прізвища до бюлетеня для таємного голосування.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rPr>
          <w:trHeight w:val="8720" w:hRule="atLeast"/>
        </w:trP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2.5.</w:t>
            </w:r>
            <w:r w:rsidDel="00000000" w:rsidR="00000000" w:rsidRPr="00000000">
              <w:rPr>
                <w:rFonts w:ascii="Times New Roman" w:cs="Times New Roman" w:eastAsia="Times New Roman" w:hAnsi="Times New Roman"/>
                <w:b w:val="1"/>
                <w:strike w:val="1"/>
                <w:color w:val="000000"/>
                <w:sz w:val="20"/>
                <w:szCs w:val="20"/>
                <w:rtl w:val="0"/>
              </w:rPr>
              <w:tab/>
            </w:r>
            <w:r w:rsidDel="00000000" w:rsidR="00000000" w:rsidRPr="00000000">
              <w:rPr>
                <w:rFonts w:ascii="Times New Roman" w:cs="Times New Roman" w:eastAsia="Times New Roman" w:hAnsi="Times New Roman"/>
                <w:strike w:val="1"/>
                <w:color w:val="000000"/>
                <w:sz w:val="20"/>
                <w:szCs w:val="20"/>
                <w:rtl w:val="0"/>
              </w:rPr>
              <w:t xml:space="preserve">Особи, які претендують на посаду судді Конституційного Суду України, подають до З’їзду, через Раду суддів України, такі документи: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особисту заяву про згоду балотуватися на посаду судді Конституційного Суду України, а також на збирання та оброблення персональних даних;</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особисту заяву про згоду на проведення спеціальної перевірки в порядку, який установлений Законом України "Про засади запобігання і протидії корупції";</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фотокартки </w:t>
            </w:r>
            <w:r w:rsidDel="00000000" w:rsidR="00000000" w:rsidRPr="00000000">
              <w:rPr>
                <w:rFonts w:ascii="Times New Roman" w:cs="Times New Roman" w:eastAsia="Times New Roman" w:hAnsi="Times New Roman"/>
                <w:strike w:val="1"/>
                <w:color w:val="000000"/>
                <w:sz w:val="20"/>
                <w:szCs w:val="20"/>
                <w:highlight w:val="white"/>
                <w:rtl w:val="0"/>
              </w:rPr>
              <w:t xml:space="preserve"> розміром 3,5 х 4,5 см;</w:t>
            </w: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декларацію про майно, доходи, витрати та зобов'язання фінансового характеру за формою і в порядку, що встановлені Законом України "Про засади запобігання і протидії корупції", за попередній рік;</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копію паспорта громадянина України;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копію диплома про вищу юридичну освіту;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копію трудової книжки або інших документів, що підтверджують стаж практичної, наукової або педагогічної роботи за фахом не менш як десять років;</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копію диплома про присудження наукового ступеня (за наявності);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w:t>
              <w:tab/>
              <w:t xml:space="preserve">копію атестата про присудження наукового звання (за наявності).</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Кандидат має право подати також інші документи, що характеризують його практичну, наукову та педагогічну діяльність.</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Усі документи подаються у двох примірниках не пізніше, ніж за сім днів до З’їзду.</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Зазначені документи подаються кандидатом особисто або надсилаються поштою цінним листом з описом вкладення, реєструються в секретаріаті Ради суддів України.</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Якщо з наданих документів убачається, що кандидат не відповідає вимогам до особи, яка може бути обрана суддею Конституційного Суду України, Рада суддів України повертає зазначені документи заявнику з відміткою про таку невідповідність.</w:t>
            </w:r>
          </w:p>
        </w:tc>
        <w:tc>
          <w:tcPr/>
          <w:p w:rsidR="00000000" w:rsidDel="00000000" w:rsidP="00000000" w:rsidRDefault="00000000" w:rsidRPr="00000000">
            <w:pPr>
              <w:spacing w:after="0" w:line="24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rPr>
          <w:trHeight w:val="1380" w:hRule="atLeast"/>
        </w:trP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2.6.</w:t>
            </w:r>
            <w:r w:rsidDel="00000000" w:rsidR="00000000" w:rsidRPr="00000000">
              <w:rPr>
                <w:rFonts w:ascii="Times New Roman" w:cs="Times New Roman" w:eastAsia="Times New Roman" w:hAnsi="Times New Roman"/>
                <w:b w:val="1"/>
                <w:strike w:val="1"/>
                <w:color w:val="000000"/>
                <w:sz w:val="20"/>
                <w:szCs w:val="20"/>
                <w:rtl w:val="0"/>
              </w:rPr>
              <w:tab/>
            </w:r>
            <w:r w:rsidDel="00000000" w:rsidR="00000000" w:rsidRPr="00000000">
              <w:rPr>
                <w:rFonts w:ascii="Times New Roman" w:cs="Times New Roman" w:eastAsia="Times New Roman" w:hAnsi="Times New Roman"/>
                <w:strike w:val="1"/>
                <w:color w:val="000000"/>
                <w:sz w:val="20"/>
                <w:szCs w:val="20"/>
                <w:rtl w:val="0"/>
              </w:rPr>
              <w:t xml:space="preserve">Не пізніш як за п'ять днів до З'їзду Рада суддів України розміщує на веб-сайті Ради суддів України та роздає делегатам фотографію кандидата та загальні відомості про нього.</w:t>
            </w:r>
          </w:p>
          <w:p w:rsidR="00000000" w:rsidDel="00000000" w:rsidP="00000000" w:rsidRDefault="00000000" w:rsidRPr="00000000">
            <w:pPr>
              <w:shd w:fill="ffffff" w:val="clea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ab/>
              <w:t xml:space="preserve">Зазначені матеріли розміщуються в режимі загального доступу.</w:t>
            </w:r>
          </w:p>
        </w:tc>
        <w:tc>
          <w:tcPr/>
          <w:p w:rsidR="00000000" w:rsidDel="00000000" w:rsidP="00000000" w:rsidRDefault="00000000" w:rsidRPr="00000000">
            <w:pPr>
              <w:spacing w:after="0" w:line="240" w:lineRule="auto"/>
              <w:ind w:left="851"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3900" w:hRule="atLeast"/>
        </w:trP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w:t>
            </w:r>
            <w:r w:rsidDel="00000000" w:rsidR="00000000" w:rsidRPr="00000000">
              <w:rPr>
                <w:rFonts w:ascii="Times New Roman" w:cs="Times New Roman" w:eastAsia="Times New Roman" w:hAnsi="Times New Roman"/>
                <w:b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З моменту оприлюднення інформації про кандидата на посаду судді Конституційного Суду України на веб-сайті Ради суддів України судді, громадяни, їхні об'єднання, усі зацікавлені особи можуть обговорювати кандидатів, висловлювати підтримку, зауваження, пропозиції, застереження.</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Письмові звернення, що стосуються окремого кандидата, доводяться до його відома, долучаються до його справи й у подальшому оголошуються на З'їзді.</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Кандидати на посаду судді Конституційного Суду України можуть обговорюватися на зборах суддів місцевих, апеляційних, вищих спеціалізованих судів, Верховного Суду України та Конституційного Суду України. Збори суддів можуть висловлювати підтримку тому чи іншому кандидату.</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Кандидати мають право виступати перед суддями та громадськістю з дотриманням правил суддівської етики.</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t>
            </w:r>
            <w:r w:rsidDel="00000000" w:rsidR="00000000" w:rsidRPr="00000000">
              <w:rPr>
                <w:rFonts w:ascii="Times New Roman" w:cs="Times New Roman" w:eastAsia="Times New Roman" w:hAnsi="Times New Roman"/>
                <w:color w:val="000000"/>
                <w:sz w:val="20"/>
                <w:szCs w:val="20"/>
                <w:rtl w:val="0"/>
              </w:rPr>
              <w:t xml:space="preserve">З моменту оприлюднення інформації про кандидата на посаду судді Конституційного Суду України на веб-сайті Ради суддів України судді, громадяни, їхні об'єднання, усі зацікавлені особи можуть обговорювати кандидатів, висловлювати підтримку, зауваження, пропозиції, застереження.</w:t>
            </w:r>
            <w:r w:rsidDel="00000000" w:rsidR="00000000" w:rsidRPr="00000000">
              <w:rPr>
                <w:rtl w:val="0"/>
              </w:rPr>
            </w:r>
          </w:p>
          <w:p w:rsidR="00000000" w:rsidDel="00000000" w:rsidP="00000000" w:rsidRDefault="00000000" w:rsidRPr="00000000">
            <w:pPr>
              <w:spacing w:after="0" w:line="240" w:lineRule="auto"/>
              <w:ind w:firstLine="201"/>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Письмові звернення, що стосуються окремого кандидата, доводяться до його відома, долучаються до його справи та про них повідомляється на З'їзді перед обговоренням кандидатур.</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Кандидати на посаду судді Конституційного Суду України можуть обговорюватися на зборах суддів місцевих, апеляційних, вищих спеціалізованих судів, Верховного Суду України та Конституційного Суду України. Збори суддів можуть висловлювати підтримку тому чи іншому кандидату.</w:t>
            </w:r>
          </w:p>
          <w:p w:rsidR="00000000" w:rsidDel="00000000" w:rsidP="00000000" w:rsidRDefault="00000000" w:rsidRPr="00000000">
            <w:pPr>
              <w:spacing w:after="0" w:line="240" w:lineRule="auto"/>
              <w:ind w:firstLine="201"/>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0"/>
                <w:szCs w:val="20"/>
                <w:rtl w:val="0"/>
              </w:rPr>
              <w:t xml:space="preserve">Кандидати  мають право виступати перед суддями та громадськістю з дотриманням правил суддівської етики.</w:t>
            </w: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w:t>
            </w:r>
            <w:r w:rsidDel="00000000" w:rsidR="00000000" w:rsidRPr="00000000">
              <w:rPr>
                <w:rFonts w:ascii="Times New Roman" w:cs="Times New Roman" w:eastAsia="Times New Roman" w:hAnsi="Times New Roman"/>
                <w:b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Розгляд питання про призначення судді Конституційного Суду України починається з доповіді голови Ради суддів України або його заступника щодо причин утворення вакансії та кількості кандидатів.</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Кандидати оголошуються поіменно в алфавітному порядку. Доповідач оголошує основні відомості про кандидата (прізвище, ім'я, по батькові, рік народження, посаду, загальний стаж роботи за фахом, наукову ступінь та вчене звання), </w:t>
            </w:r>
            <w:r w:rsidDel="00000000" w:rsidR="00000000" w:rsidRPr="00000000">
              <w:rPr>
                <w:rFonts w:ascii="Times New Roman" w:cs="Times New Roman" w:eastAsia="Times New Roman" w:hAnsi="Times New Roman"/>
                <w:strike w:val="1"/>
                <w:color w:val="000000"/>
                <w:sz w:val="20"/>
                <w:szCs w:val="20"/>
                <w:rtl w:val="0"/>
              </w:rPr>
              <w:t xml:space="preserve">хто його запропонував</w:t>
            </w:r>
            <w:r w:rsidDel="00000000" w:rsidR="00000000" w:rsidRPr="00000000">
              <w:rPr>
                <w:rFonts w:ascii="Times New Roman" w:cs="Times New Roman" w:eastAsia="Times New Roman" w:hAnsi="Times New Roman"/>
                <w:color w:val="000000"/>
                <w:sz w:val="20"/>
                <w:szCs w:val="20"/>
                <w:rtl w:val="0"/>
              </w:rPr>
              <w:t xml:space="preserve">, та про звернення, які надішли за наслідками обговорення його кандидатури.</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Після доповіді головуючого слово надається кандидатам. Кандидати виступають в алфавітному порядку. Тривалість промов кандидатів визначається Регламентом певного З'їзду.</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Делегати</w:t>
            </w:r>
            <w:r w:rsidDel="00000000" w:rsidR="00000000" w:rsidRPr="00000000">
              <w:rPr>
                <w:rFonts w:ascii="Times New Roman" w:cs="Times New Roman" w:eastAsia="Times New Roman" w:hAnsi="Times New Roman"/>
                <w:strike w:val="1"/>
                <w:color w:val="000000"/>
                <w:sz w:val="20"/>
                <w:szCs w:val="20"/>
                <w:rtl w:val="0"/>
              </w:rPr>
              <w:t xml:space="preserve">, а з дозволу головуючого також і запрошені на З'їзд особи,</w:t>
            </w:r>
            <w:r w:rsidDel="00000000" w:rsidR="00000000" w:rsidRPr="00000000">
              <w:rPr>
                <w:rFonts w:ascii="Times New Roman" w:cs="Times New Roman" w:eastAsia="Times New Roman" w:hAnsi="Times New Roman"/>
                <w:color w:val="000000"/>
                <w:sz w:val="20"/>
                <w:szCs w:val="20"/>
                <w:rtl w:val="0"/>
              </w:rPr>
              <w:t xml:space="preserve"> мають право ставити кандидатам запитання та висловлюватися щодо кандидатур.</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 має право відкликати свою кандидатуру.          У такому разі обговорення цього кандидата припиняється і його кандидатура З’їздом не розглядається.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2.10 Розгляд питання про призначення судді Конституційного Суду України починається з доповіді голови Ради суддів України або його заступника щодо причин утворення вакансії та кількості кандидатів.</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Кандидати оголошуються поіменно в алфавітному порядку. Доповідач оголошує основні відомості про кандидата (прізвище, ім'я, по батькові, рік народження, посаду, загальний стаж роботи за фахом, наукову ступінь та вчене звання),  та про звернення, які надішли за наслідками обговорення його кандидатури.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Після доповіді головуючого слово надається кандидатам. Кандидати виступають в алфавітному порядку. Тривалість промов кандидатів визначається Регламентом певного З'їзду.</w:t>
            </w:r>
          </w:p>
          <w:p w:rsidR="00000000" w:rsidDel="00000000" w:rsidP="00000000" w:rsidRDefault="00000000" w:rsidRPr="00000000">
            <w:pPr>
              <w:spacing w:after="0" w:line="240" w:lineRule="auto"/>
              <w:ind w:firstLine="343"/>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Делегати з'їзду мають право ставити кандидатам запитання та висловлюватися щодо кандидатур. Участь інших осіб в обговоренні не допускається.</w:t>
            </w:r>
          </w:p>
          <w:p w:rsidR="00000000" w:rsidDel="00000000" w:rsidP="00000000" w:rsidRDefault="00000000" w:rsidRPr="00000000">
            <w:pPr>
              <w:spacing w:after="0" w:line="240" w:lineRule="auto"/>
              <w:ind w:firstLine="343"/>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Кандидат має право відкликати свою кандидатуру. У такому разі обговорення цього кандидата припиняється і його кандидатура З’їздом не розглядається.</w:t>
            </w: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300" w:hRule="atLeast"/>
        </w:trP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2.9.</w:t>
            </w:r>
            <w:r w:rsidDel="00000000" w:rsidR="00000000" w:rsidRPr="00000000">
              <w:rPr>
                <w:rFonts w:ascii="Times New Roman" w:cs="Times New Roman" w:eastAsia="Times New Roman" w:hAnsi="Times New Roman"/>
                <w:b w:val="1"/>
                <w:strike w:val="1"/>
                <w:color w:val="000000"/>
                <w:sz w:val="20"/>
                <w:szCs w:val="20"/>
                <w:rtl w:val="0"/>
              </w:rPr>
              <w:tab/>
            </w:r>
            <w:r w:rsidDel="00000000" w:rsidR="00000000" w:rsidRPr="00000000">
              <w:rPr>
                <w:rFonts w:ascii="Times New Roman" w:cs="Times New Roman" w:eastAsia="Times New Roman" w:hAnsi="Times New Roman"/>
                <w:strike w:val="1"/>
                <w:color w:val="000000"/>
                <w:sz w:val="20"/>
                <w:szCs w:val="20"/>
                <w:rtl w:val="0"/>
              </w:rPr>
              <w:t xml:space="preserve">За наслідками обговорення З'їзд за пропозицією делегатів З'їзду відкритим голосуванням більшістю голосів присутніх делегатів З'їзду визначає кандидатури на посади суддів Конституційного Суду України для включення в бюлетені для таємного голосування (частина перша статті восьмої Закону України "Про Конституційний Суд України").</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Прізвища кандидатів на посади суддів Конституційного Суду України включаються до бюлетеня в алфавітному порядку.</w:t>
            </w:r>
            <w:r w:rsidDel="00000000" w:rsidR="00000000" w:rsidRPr="00000000">
              <w:rPr>
                <w:rtl w:val="0"/>
              </w:rPr>
            </w:r>
          </w:p>
        </w:tc>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2.11. За списками, наданими Радою суддів України З’їзд відкритим голосуванням більшістю голосів присутніх делегатів З’їзду включає кандидатури на посаду судді Конституційного Суду до бюлетеня для таємного голосування.</w:t>
            </w:r>
            <w:r w:rsidDel="00000000" w:rsidR="00000000" w:rsidRPr="00000000">
              <w:rPr>
                <w:rtl w:val="0"/>
              </w:rPr>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Прізвища кандидатів на посади суддів Конституційного Суду України включаються до бюлетеня в алфавітному порядку.</w:t>
            </w:r>
          </w:p>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Проставлення номерів напроти прізвищ не допускається.</w:t>
            </w:r>
          </w:p>
        </w:tc>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tabs>
                <w:tab w:val="left" w:pos="937"/>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2.10.</w:t>
            </w:r>
            <w:r w:rsidDel="00000000" w:rsidR="00000000" w:rsidRPr="00000000">
              <w:rPr>
                <w:rFonts w:ascii="Times New Roman" w:cs="Times New Roman" w:eastAsia="Times New Roman" w:hAnsi="Times New Roman"/>
                <w:b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Голосування за призначення судді Конституційного Суду України відбувається таємно та особисто. Передача бюлетеня для голосування іншій особі не допускається.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2.12. Голосування за призначення судді Конституційного Суду України відбувається таємно та особисто. Передача бюлетеня для голосування іншій особі не допускається.</w:t>
            </w:r>
            <w:r w:rsidDel="00000000" w:rsidR="00000000" w:rsidRPr="00000000">
              <w:rPr>
                <w:rtl w:val="0"/>
              </w:rPr>
            </w:r>
          </w:p>
        </w:tc>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c>
          <w:tcPr/>
          <w:p w:rsidR="00000000" w:rsidDel="00000000" w:rsidP="00000000" w:rsidRDefault="00000000" w:rsidRPr="00000000">
            <w:pPr>
              <w:tabs>
                <w:tab w:val="left" w:pos="937"/>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2.11.</w:t>
            </w:r>
            <w:r w:rsidDel="00000000" w:rsidR="00000000" w:rsidRPr="00000000">
              <w:rPr>
                <w:rFonts w:ascii="Times New Roman" w:cs="Times New Roman" w:eastAsia="Times New Roman" w:hAnsi="Times New Roman"/>
                <w:b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Організація голосування й підрахунок голосів здійснюється лічильною комісією З'їзду. Зі складу лічильної комісії виключаються особи, які внесені до бюлетеня для таємного голосування.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w:t>
            </w:r>
            <w:r w:rsidDel="00000000" w:rsidR="00000000" w:rsidRPr="00000000">
              <w:rPr>
                <w:rFonts w:ascii="Times New Roman" w:cs="Times New Roman" w:eastAsia="Times New Roman" w:hAnsi="Times New Roman"/>
                <w:color w:val="000000"/>
                <w:sz w:val="20"/>
                <w:szCs w:val="20"/>
                <w:rtl w:val="0"/>
              </w:rPr>
              <w:t xml:space="preserve"> Організація голосування й підрахунок голосів здійснюється лічильною комісією З'їзду. Зі складу лічильної комісії виключаються особи, які внесені до бюлетеня для таємного голосування.</w:t>
            </w:r>
            <w:r w:rsidDel="00000000" w:rsidR="00000000" w:rsidRPr="00000000">
              <w:rPr>
                <w:rtl w:val="0"/>
              </w:rPr>
            </w:r>
          </w:p>
        </w:tc>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r>
      <w:tr>
        <w:trPr>
          <w:trHeight w:val="184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 Час, місце таємного голосування, порядок його проведення встановлюється лічильною комісією і оголошується головуючим на З’їзді. </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Лічильна комісія перед початком голосування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таємниці голосування.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160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 Видача делегату бюлетеня для таємного голосування проводиться згідно з реєстром одержання бюлетенів за умови пред’явлення іменного мандату та засвідчується власним підписом делегата у відповідній графі реєстру.</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Бюлетені, що залишилися не розданими, погашаються лічильною комісією написом «погашено».</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06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 Таємне голосування проводиться протягом визначеного лічильною комісією часу кожним делегатом З’їзду окремо в кабіні для таємного голосування.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бюлетені для таємного голосування  делегат З'їзду робить позначку "плюс" ("+") або іншу, що засвідчує його волевиявлення, у квадраті навпроти прізвища (прізвищ) кандидата (кандидатів), за якого (яких) він голосує.</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2.17. Заповнення бюлетеня простим олівцем не допускається.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2.18. Повторна видача бюлетенів не допускається.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2.19. Заповнений бюлетень для таємного голосування опускається в скриньку для таємного голосування.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980" w:hRule="atLeast"/>
        </w:trP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 Недійсними вважаються бюлетені: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невстановленого зразка;</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бюлетені, які не містять підписів голови і секретаря лічильної комісії та відбиток печатки;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бюлетені, зі змісту яких неможливо однозначно встановити результат голосування, зокрема, бюлетені, в яких проставлено відмітки навпроти більшої або меншої кількості прізвищ кандидатів, ніж які мають бути обрані З’їздом.</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бюлетені, до яких делегатами З’їзду додатково вписані прізвища кандидатів, рішення щодо яких про включення до бюлетеня про таємне голосування З’їздом не приймалось.</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2.21. Рішення про визнання недійсним бюлетеня для таємного голосування приймає лічильна комісія шляхом голосування під час підрахунку голосів.</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2.22. Якщо в скриньках для таємного голосування виявиться більше бюлетенів встановленого зразка, ніж їх видано згідно з реєстром одержання бюлетенів, всі бюлетені вважаються недійсними, і за рішенням лічильної комісії, затвердженим З’їздом, проводиться повторне голосування.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restart"/>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color w:val="000000"/>
                <w:sz w:val="20"/>
                <w:szCs w:val="20"/>
              </w:rPr>
            </w:pPr>
            <w:r w:rsidDel="00000000" w:rsidR="00000000" w:rsidRPr="00000000">
              <w:rPr>
                <w:rtl w:val="0"/>
              </w:rPr>
            </w:r>
          </w:p>
        </w:tc>
        <w:tc>
          <w:tcPr>
            <w:vMerge w:val="restart"/>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2.23. Після закінчення підрахунку голосів лічильна комісія складає протокол про результати таємного голосування, який має містити відомості про кількість виготовлених бюлетенів, кількість бюлетенів, отриманих делегатами, кількість погашених бюлетенів, кількість бюлетенів у скриньці для голосування, кількість дійсних бюлетенів, кількість недійсних бюлетенів, кількість голосів «за».</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 кожного питання порядку денного З’їзду, за яким проводилося таємне голосування, лічильною комісією З’їзду складається окремий протокол.</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Делегати З’їзду можуть бути присутніми при розпечатуванні скриньок для таємного голосування та підрахунку лічильною комісією голосів.</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Такі делегати з'їзду не мають права втручатись у роботу лічильної комісії та перешкоджати здійсненню членами комісії своїх повноважень.</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рішенням комісії особа, яка присутня при розпечатуванні скриньок для таємного голосування та підрахунку лічильною комісією голосів, може бути видалена з приміщення, де вчиняються відповідні дії, у разі втручання у роботу лічильної комісії та перешкоджання здійсненню членами комісії своїх повноважень. </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 такі факти комісія інформує З'їзд одночасно з оголошенням протоколу про результати голосування.</w:t>
            </w:r>
          </w:p>
        </w:tc>
        <w:tc>
          <w:tcPr>
            <w:vMerge w:val="restart"/>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rPr>
          <w:trHeight w:val="1380" w:hRule="atLeast"/>
        </w:trP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2.24. Протокол про результати таємного голосування та окремі думки членів лічильної комісії голова лічильної комісії оголошує З’їзду. </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Після оголошення головою лічильною комісією результатів таємного голосування головуючий на З'їзді оголошує про прийняте з'їздом рішення.</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 Повторне таємне голосування проводиться у випадку, якщо:</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всі бюлетені для таємного голосування визнані недійсними (пункт 2.20  цього Регламенту), або якщо</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голосування з цього питання  вже відбулось, але з певних причин результати голосування є недійсними, або якщо</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жодний із кандидатів не набрав необхідної кількості голосів, або якщо</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кандидати в кількості, визначеній законом до призначення не набрали необхідної кількості голосів, або якщо</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кандидати набрали однакову необхідну кількість голосів, яка не дозволяє встановити їх першість та прийняти рішення про їх призначення.</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проведення повторного голосування внаслідок визнання всіх бюлетенів недійсними або голосування з цього питання  вже відбулось, але з певних причин результати голосування є недійсними, у бюлетень для повторного голосування включаються всі кандидати, що вже були включені.</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інших випадках проводиться повторне голосування щодо двох кандидатів, які набрали більшу кількість голосів порівняно з іншими кандидатами.</w:t>
            </w:r>
          </w:p>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під час голосування кандидат.</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strike w:val="1"/>
                <w:color w:val="000000"/>
                <w:sz w:val="20"/>
                <w:szCs w:val="20"/>
              </w:rPr>
            </w:pPr>
            <w:r w:rsidDel="00000000" w:rsidR="00000000" w:rsidRPr="00000000">
              <w:rPr>
                <w:rFonts w:ascii="Times New Roman" w:cs="Times New Roman" w:eastAsia="Times New Roman" w:hAnsi="Times New Roman"/>
                <w:b w:val="1"/>
                <w:strike w:val="1"/>
                <w:color w:val="000000"/>
                <w:sz w:val="20"/>
                <w:szCs w:val="20"/>
                <w:rtl w:val="0"/>
              </w:rPr>
              <w:t xml:space="preserve">Розділ ІІІ</w:t>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strike w:val="1"/>
                <w:color w:val="000000"/>
                <w:sz w:val="20"/>
                <w:szCs w:val="20"/>
              </w:rPr>
            </w:pPr>
            <w:r w:rsidDel="00000000" w:rsidR="00000000" w:rsidRPr="00000000">
              <w:rPr>
                <w:rFonts w:ascii="Times New Roman" w:cs="Times New Roman" w:eastAsia="Times New Roman" w:hAnsi="Times New Roman"/>
                <w:b w:val="1"/>
                <w:strike w:val="1"/>
                <w:color w:val="000000"/>
                <w:sz w:val="20"/>
                <w:szCs w:val="20"/>
                <w:rtl w:val="0"/>
              </w:rPr>
              <w:t xml:space="preserve">Звільнення суддів Конституційного Суду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3.1. Суддя Конституційного Суду України, який призначений на цю посаду З’їздом, звільняється з посади З'їздом з підстав, передбачених у статті 126 Конституції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3.2. Рішення про звільнення судді Конституційного Суду України приймається таємним голосуванням більшістю голосів делегатів, обранихна З’їзд.</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3.3. Суддя Конституційного Суду України, відносно якого розглядається питання про його звільнення, запрошується на З’їзд, має право надавати пояснення, висловлювати заперечення, а також заявляти клопотання.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tabs>
                <w:tab w:val="left" w:pos="3119"/>
              </w:tabs>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3.4. Рішення З’їзду про звільнення судді з посади судді Конституційного Суду України направляється до Конституційного Суду України, судді, щодо якого прийнято таке рішення, до Верховної Ради України та Президенту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strike w:val="1"/>
                <w:color w:val="000000"/>
                <w:sz w:val="20"/>
                <w:szCs w:val="20"/>
              </w:rPr>
            </w:pPr>
            <w:r w:rsidDel="00000000" w:rsidR="00000000" w:rsidRPr="00000000">
              <w:rPr>
                <w:rFonts w:ascii="Times New Roman" w:cs="Times New Roman" w:eastAsia="Times New Roman" w:hAnsi="Times New Roman"/>
                <w:b w:val="1"/>
                <w:strike w:val="1"/>
                <w:color w:val="000000"/>
                <w:sz w:val="20"/>
                <w:szCs w:val="20"/>
                <w:rtl w:val="0"/>
              </w:rPr>
              <w:t xml:space="preserve">Звільнення судді Конституційного Суду України у зв’язку із закінченням строку призначення та досягненням шестидесятип`ятирічного віку</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4.1.</w:t>
              <w:tab/>
              <w:t xml:space="preserve">Підставами припинення повноважень судді Конституційного Суду України є досягнення ним 65-річного віку, закінчення строку, на який його призначено.</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993" w:firstLine="0"/>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4.2.</w:t>
              <w:tab/>
              <w:t xml:space="preserve">Для розгляду питання про звільнення судді Конституційного Суду України у зв’язку з досягненням 65-річного віку та закінчення строку, на який його призначено, Голова Конституційного Суду України подає до З’їзду суддів України, через Раду суддів України, подання про звільнення.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tabs>
                <w:tab w:val="left" w:pos="884"/>
              </w:tabs>
              <w:spacing w:after="0" w:line="240" w:lineRule="auto"/>
              <w:ind w:left="34" w:firstLine="0"/>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4.3.</w:t>
              <w:tab/>
              <w:t xml:space="preserve">До подання додаються завірені Конституційним Судом України документи про призначення судді та документи на підтвердження підстави для звільнення.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tabs>
                <w:tab w:val="left" w:pos="1843"/>
              </w:tabs>
              <w:spacing w:after="0" w:line="240" w:lineRule="auto"/>
              <w:ind w:left="34" w:firstLine="0"/>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strike w:val="1"/>
                <w:color w:val="000000"/>
                <w:sz w:val="20"/>
                <w:szCs w:val="20"/>
              </w:rPr>
            </w:pPr>
            <w:r w:rsidDel="00000000" w:rsidR="00000000" w:rsidRPr="00000000">
              <w:rPr>
                <w:rFonts w:ascii="Times New Roman" w:cs="Times New Roman" w:eastAsia="Times New Roman" w:hAnsi="Times New Roman"/>
                <w:b w:val="1"/>
                <w:strike w:val="1"/>
                <w:color w:val="000000"/>
                <w:sz w:val="20"/>
                <w:szCs w:val="20"/>
                <w:rtl w:val="0"/>
              </w:rPr>
              <w:t xml:space="preserve">Звільнення судді Конституційного Суду України у зв’язку з неможливістю виконання ним своїх повноважень за станом здоров’я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5.1.</w:t>
              <w:tab/>
              <w:t xml:space="preserve">Питання про звільнення судді Конституційного Суду України у зв’язку з неможливістю виконувати свої повноваження за станом здоров’я розглядається на З’їзді за поданням  Голови Конституційного Суду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93" w:firstLine="0"/>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5.2.</w:t>
              <w:tab/>
              <w:t xml:space="preserve">До подання про звільнення додаються заява судді про звільнення та медичний висновок про неможливість виконання обов’язків судді.</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У разі якщо з об’єктивних причин отримати заяву про звільнення з причин, визначених даним розділом, не вбачається можливим, розгляд питання про звільнення відбувається за поданням з урахуванням медичного висновку.</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keepNext w:val="1"/>
              <w:keepLines w:val="1"/>
              <w:spacing w:after="0" w:line="240" w:lineRule="auto"/>
              <w:ind w:left="34" w:firstLine="215"/>
              <w:contextualSpacing w:val="0"/>
              <w:jc w:val="both"/>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5.3.</w:t>
              <w:tab/>
              <w:t xml:space="preserve">У разі зміни стану здоров’я до початку голосування З’їздом питання про звільнення судді суддя має право відкликати свою заяву про звільнення.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34"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5.4.</w:t>
              <w:tab/>
              <w:t xml:space="preserve">У разі відкликання заяви питання про звільнення судді не розглядається.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b w:val="1"/>
                <w:strike w:val="1"/>
                <w:color w:val="000000"/>
                <w:sz w:val="20"/>
                <w:szCs w:val="20"/>
                <w:rtl w:val="0"/>
              </w:rPr>
              <w:t xml:space="preserve">Звільнення судді у разі порушення вимог щодо несумісності</w:t>
            </w:r>
            <w:r w:rsidDel="00000000" w:rsidR="00000000" w:rsidRPr="00000000">
              <w:rPr>
                <w:rtl w:val="0"/>
              </w:rPr>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keepNext w:val="1"/>
              <w:keepLines w:val="1"/>
              <w:spacing w:after="0" w:line="240" w:lineRule="auto"/>
              <w:ind w:left="34" w:firstLine="215"/>
              <w:contextualSpacing w:val="0"/>
              <w:jc w:val="both"/>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6.1.</w:t>
              <w:tab/>
              <w:t xml:space="preserve">Питання про порушення суддею Конституційного Суду України вимог щодо несумісності розглядається З’їздом за поданням Вищої ради юстиції за наявності рішення Вищої ради юстиції про встановлення такого факту.</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left="85" w:firstLine="117"/>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6.2.</w:t>
              <w:tab/>
              <w:t xml:space="preserve">Подання Вищої ради юстиції подається З’їзду та направляється до Ради суддів України.</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trike w:val="1"/>
                <w:color w:val="000000"/>
                <w:sz w:val="20"/>
                <w:szCs w:val="20"/>
              </w:rPr>
            </w:pPr>
            <w:r w:rsidDel="00000000" w:rsidR="00000000" w:rsidRPr="00000000">
              <w:rPr>
                <w:rFonts w:ascii="Times New Roman" w:cs="Times New Roman" w:eastAsia="Times New Roman" w:hAnsi="Times New Roman"/>
                <w:strike w:val="1"/>
                <w:color w:val="000000"/>
                <w:sz w:val="20"/>
                <w:szCs w:val="20"/>
                <w:rtl w:val="0"/>
              </w:rPr>
              <w:t xml:space="preserve">6.3.</w:t>
              <w:tab/>
              <w:t xml:space="preserve">До подання про звільнення судді додаються матеріали, які стали підставою для прийняття такого рішення.</w:t>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Розділ ІV</w:t>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Розділ ІІІ</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Заключні положення</w:t>
            </w:r>
          </w:p>
        </w:tc>
        <w:tc>
          <w:tcPr/>
          <w:p w:rsidR="00000000" w:rsidDel="00000000" w:rsidP="00000000" w:rsidRDefault="00000000" w:rsidRPr="00000000">
            <w:pPr>
              <w:spacing w:after="0" w:lineRule="auto"/>
              <w:ind w:firstLine="215"/>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Заключні положення</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12.1.</w:t>
              <w:tab/>
              <w:t xml:space="preserve">Регламент призначення </w:t>
            </w:r>
            <w:r w:rsidDel="00000000" w:rsidR="00000000" w:rsidRPr="00000000">
              <w:rPr>
                <w:rFonts w:ascii="Times New Roman" w:cs="Times New Roman" w:eastAsia="Times New Roman" w:hAnsi="Times New Roman"/>
                <w:strike w:val="1"/>
                <w:color w:val="000000"/>
                <w:sz w:val="20"/>
                <w:szCs w:val="20"/>
                <w:rtl w:val="0"/>
              </w:rPr>
              <w:t xml:space="preserve">та звільнення</w:t>
            </w:r>
            <w:r w:rsidDel="00000000" w:rsidR="00000000" w:rsidRPr="00000000">
              <w:rPr>
                <w:rFonts w:ascii="Times New Roman" w:cs="Times New Roman" w:eastAsia="Times New Roman" w:hAnsi="Times New Roman"/>
                <w:color w:val="000000"/>
                <w:sz w:val="20"/>
                <w:szCs w:val="20"/>
                <w:rtl w:val="0"/>
              </w:rPr>
              <w:t xml:space="preserve"> суддів Конституційного Суду України приймається З’їздом шляхом відкритого голосування більшістю голосів делегатів, зареєстрованих на З’їзді.</w:t>
            </w:r>
            <w:r w:rsidDel="00000000" w:rsidR="00000000" w:rsidRPr="00000000">
              <w:rPr>
                <w:rtl w:val="0"/>
              </w:rPr>
            </w:r>
          </w:p>
        </w:tc>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3.1.Регламент призначення суддів Конституційного Суду України приймається З’їздом шляхом відкритого голосування більшістю голосів делегатів, зареєстрованих на З’їзді.</w:t>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pPr>
              <w:tabs>
                <w:tab w:val="left" w:pos="1701"/>
              </w:tabs>
              <w:spacing w:after="0" w:line="240" w:lineRule="auto"/>
              <w:ind w:firstLine="215"/>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12.2. Зміни та доповнення до Регламенту можуть бути внесені З’їздом за пропозицією Ради суддів України. </w:t>
            </w:r>
            <w:r w:rsidDel="00000000" w:rsidR="00000000" w:rsidRPr="00000000">
              <w:rPr>
                <w:rtl w:val="0"/>
              </w:rPr>
            </w:r>
          </w:p>
        </w:tc>
        <w:tc>
          <w:tcPr/>
          <w:p w:rsidR="00000000" w:rsidDel="00000000" w:rsidP="00000000" w:rsidRDefault="00000000" w:rsidRPr="00000000">
            <w:pPr>
              <w:spacing w:after="0" w:lineRule="auto"/>
              <w:ind w:firstLine="2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color w:val="000000"/>
                <w:sz w:val="20"/>
                <w:szCs w:val="20"/>
                <w:rtl w:val="0"/>
              </w:rPr>
              <w:t xml:space="preserve"> Зміни та доповнення до Регламенту можуть бути внесені З’їздом за пропозицією Ради суддів України.</w:t>
            </w:r>
            <w:r w:rsidDel="00000000" w:rsidR="00000000" w:rsidRPr="00000000">
              <w:rPr>
                <w:rtl w:val="0"/>
              </w:rPr>
            </w:r>
          </w:p>
        </w:tc>
        <w:tc>
          <w:tcPr/>
          <w:p w:rsidR="00000000" w:rsidDel="00000000" w:rsidP="00000000" w:rsidRDefault="00000000" w:rsidRPr="00000000">
            <w:pPr>
              <w:spacing w:after="0" w:line="240" w:lineRule="auto"/>
              <w:ind w:firstLine="215"/>
              <w:contextualSpacing w:val="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contextualSpacing w:val="0"/>
        <w:rPr>
          <w:sz w:val="8"/>
          <w:szCs w:val="8"/>
        </w:rPr>
      </w:pPr>
      <w:r w:rsidDel="00000000" w:rsidR="00000000" w:rsidRPr="00000000">
        <w:rPr>
          <w:rtl w:val="0"/>
        </w:rPr>
      </w:r>
    </w:p>
    <w:sectPr>
      <w:headerReference r:id="rId12" w:type="default"/>
      <w:headerReference r:id="rId13" w:type="first"/>
      <w:footerReference r:id="rId14" w:type="default"/>
      <w:pgSz w:h="11909" w:w="16834"/>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spacing w:after="597" w:lineRule="auto"/>
      <w:contextualSpacing w:val="0"/>
      <w:rPr>
        <w:b w:val="1"/>
        <w:sz w:val="10"/>
        <w:szCs w:val="10"/>
      </w:rPr>
    </w:pPr>
    <w:r w:rsidDel="00000000" w:rsidR="00000000" w:rsidRPr="00000000">
      <w:rPr>
        <w:sz w:val="10"/>
        <w:szCs w:val="10"/>
        <w:rtl w:val="0"/>
      </w:rPr>
      <w:t xml:space="preserve">Рада суддів України &lt;&lt;Проект про внесення змін до  Регламенту призначення та звільнення суддів Конституційного Суду України з посад за квотою з’їзду суддів України &gt;&gt;&gt;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567"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стор.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567"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56.0" w:type="dxa"/>
        <w:bottom w:w="0.0" w:type="dxa"/>
        <w:right w:w="56.0" w:type="dxa"/>
      </w:tblCellMar>
    </w:tblPr>
  </w:style>
  <w:style w:type="table" w:styleId="Table3">
    <w:basedOn w:val="TableNormal"/>
    <w:tblPr>
      <w:tblStyleRowBandSize w:val="1"/>
      <w:tblStyleColBandSize w:val="1"/>
      <w:tblCellMar>
        <w:top w:w="0.0" w:type="dxa"/>
        <w:left w:w="56.0" w:type="dxa"/>
        <w:bottom w:w="0.0" w:type="dxa"/>
        <w:right w:w="56.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zakon2.rada.gov.ua/laws/show/1700-18" TargetMode="External"/><Relationship Id="rId10" Type="http://schemas.openxmlformats.org/officeDocument/2006/relationships/hyperlink" Target="http://zakon2.rada.gov.ua/laws/show/254%D0%BA/96-%D0%B2%D1%8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zakon2.rada.gov.ua/laws/show/1700-18" TargetMode="External"/><Relationship Id="rId14" Type="http://schemas.openxmlformats.org/officeDocument/2006/relationships/footer" Target="footer1.xml"/><Relationship Id="rId5" Type="http://schemas.openxmlformats.org/officeDocument/2006/relationships/hyperlink" Target="http://zakon2.rada.gov.ua/laws/show/254%D0%BA/96-%D0%B2%D1%80/paran5277#n5277" TargetMode="External"/><Relationship Id="rId6" Type="http://schemas.openxmlformats.org/officeDocument/2006/relationships/hyperlink" Target="http://zakon2.rada.gov.ua/laws/show/254%D0%BA/96-%D0%B2%D1%80/paran5277#n5277" TargetMode="External"/><Relationship Id="rId7" Type="http://schemas.openxmlformats.org/officeDocument/2006/relationships/hyperlink" Target="http://zakon2.rada.gov.ua/laws/show/254%D0%BA/96-%D0%B2%D1%80" TargetMode="External"/><Relationship Id="rId8" Type="http://schemas.openxmlformats.org/officeDocument/2006/relationships/hyperlink" Target="http://zakon2.rada.gov.ua/laws/show/1682-18" TargetMode="External"/></Relationships>
</file>