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1001" w14:textId="51EDE045" w:rsidR="00AA6755" w:rsidRPr="00AA6755" w:rsidRDefault="00AA6755" w:rsidP="00AA675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</w:pPr>
      <w:bookmarkStart w:id="0" w:name="_Hlk184389777"/>
    </w:p>
    <w:p w14:paraId="632AA92A" w14:textId="77777777" w:rsidR="00AA6755" w:rsidRPr="00AA6755" w:rsidRDefault="00AA6755" w:rsidP="00AA675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uk-UA"/>
        </w:rPr>
      </w:pPr>
      <w:r w:rsidRPr="00AA6755">
        <w:rPr>
          <w:rFonts w:ascii="Times New Roman" w:eastAsia="Calibri" w:hAnsi="Times New Roman" w:cs="Times New Roman"/>
          <w:noProof/>
          <w:color w:val="FFFF00"/>
          <w:sz w:val="26"/>
          <w:szCs w:val="26"/>
          <w:lang w:eastAsia="uk-UA"/>
        </w:rPr>
        <w:drawing>
          <wp:inline distT="0" distB="0" distL="0" distR="0" wp14:anchorId="5A66563D" wp14:editId="2307516E">
            <wp:extent cx="5429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8FF0" w14:textId="77777777" w:rsidR="00AA6755" w:rsidRPr="00AA6755" w:rsidRDefault="00AA6755" w:rsidP="00AA6755">
      <w:pPr>
        <w:keepNext/>
        <w:tabs>
          <w:tab w:val="left" w:pos="-180"/>
        </w:tabs>
        <w:spacing w:before="120" w:after="60" w:line="240" w:lineRule="auto"/>
        <w:ind w:left="-180" w:right="-186" w:hanging="180"/>
        <w:jc w:val="center"/>
        <w:outlineLvl w:val="3"/>
        <w:rPr>
          <w:rFonts w:ascii="Times New Roman" w:eastAsia="Calibri" w:hAnsi="Times New Roman" w:cs="Times New Roman"/>
          <w:b/>
          <w:color w:val="0070C0"/>
          <w:spacing w:val="22"/>
          <w:sz w:val="44"/>
          <w:szCs w:val="44"/>
          <w:lang w:eastAsia="ru-RU"/>
        </w:rPr>
      </w:pPr>
      <w:r w:rsidRPr="00AA6755">
        <w:rPr>
          <w:rFonts w:ascii="Times New Roman" w:eastAsia="Calibri" w:hAnsi="Times New Roman" w:cs="Times New Roman"/>
          <w:b/>
          <w:color w:val="0070C0"/>
          <w:spacing w:val="22"/>
          <w:sz w:val="44"/>
          <w:szCs w:val="44"/>
          <w:lang w:eastAsia="ru-RU"/>
        </w:rPr>
        <w:t>РАДА СУДДІВ УКРАЇНИ</w:t>
      </w:r>
    </w:p>
    <w:p w14:paraId="3BA6E8AB" w14:textId="77777777" w:rsidR="00AA6755" w:rsidRPr="00AA6755" w:rsidRDefault="00AA6755" w:rsidP="00AA6755">
      <w:pPr>
        <w:spacing w:after="240" w:line="240" w:lineRule="auto"/>
        <w:jc w:val="center"/>
        <w:rPr>
          <w:rFonts w:ascii="Times New Roman" w:eastAsia="Calibri" w:hAnsi="Times New Roman" w:cs="Times New Roman"/>
          <w:color w:val="0070C0"/>
          <w:lang w:eastAsia="ru-RU"/>
        </w:rPr>
      </w:pPr>
      <w:r w:rsidRPr="00AA6755">
        <w:rPr>
          <w:rFonts w:ascii="Times New Roman" w:eastAsia="Calibri" w:hAnsi="Times New Roman" w:cs="Times New Roman"/>
          <w:b/>
          <w:bCs/>
          <w:noProof/>
          <w:spacing w:val="22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BB8AF" wp14:editId="2478F59B">
                <wp:simplePos x="0" y="0"/>
                <wp:positionH relativeFrom="column">
                  <wp:posOffset>-294005</wp:posOffset>
                </wp:positionH>
                <wp:positionV relativeFrom="paragraph">
                  <wp:posOffset>291465</wp:posOffset>
                </wp:positionV>
                <wp:extent cx="6400800" cy="0"/>
                <wp:effectExtent l="20320" t="24765" r="27305" b="228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254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15pt,22.95pt" to="480.8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" strokecolor="yellow" strokeweight="3pt"/>
            </w:pict>
          </mc:Fallback>
        </mc:AlternateContent>
      </w:r>
      <w:r w:rsidRPr="00AA6755">
        <w:rPr>
          <w:rFonts w:ascii="Times New Roman" w:eastAsia="Calibri" w:hAnsi="Times New Roman" w:cs="Times New Roman"/>
          <w:b/>
          <w:bCs/>
          <w:noProof/>
          <w:color w:val="0070C0"/>
          <w:spacing w:val="22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01AA" wp14:editId="0A13C61B">
                <wp:simplePos x="0" y="0"/>
                <wp:positionH relativeFrom="column">
                  <wp:posOffset>-294005</wp:posOffset>
                </wp:positionH>
                <wp:positionV relativeFrom="paragraph">
                  <wp:posOffset>243840</wp:posOffset>
                </wp:positionV>
                <wp:extent cx="6400800" cy="0"/>
                <wp:effectExtent l="20320" t="24765" r="27305" b="228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A2FC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15pt,19.2pt" to="480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" strokecolor="#36f" strokeweight="3pt"/>
            </w:pict>
          </mc:Fallback>
        </mc:AlternateContent>
      </w:r>
      <w:r w:rsidRPr="00AA6755">
        <w:rPr>
          <w:rFonts w:ascii="Times New Roman" w:eastAsia="Calibri" w:hAnsi="Times New Roman" w:cs="Times New Roman"/>
          <w:color w:val="0070C0"/>
          <w:lang w:eastAsia="ru-RU"/>
        </w:rPr>
        <w:t xml:space="preserve">01601, м. Київ, вул. Липська, 18/5, </w:t>
      </w:r>
      <w:proofErr w:type="spellStart"/>
      <w:r w:rsidRPr="00AA6755">
        <w:rPr>
          <w:rFonts w:ascii="Times New Roman" w:eastAsia="Calibri" w:hAnsi="Times New Roman" w:cs="Times New Roman"/>
          <w:color w:val="0070C0"/>
          <w:lang w:eastAsia="ru-RU"/>
        </w:rPr>
        <w:t>тел</w:t>
      </w:r>
      <w:proofErr w:type="spellEnd"/>
      <w:r w:rsidRPr="00AA6755">
        <w:rPr>
          <w:rFonts w:ascii="Times New Roman" w:eastAsia="Calibri" w:hAnsi="Times New Roman" w:cs="Times New Roman"/>
          <w:color w:val="0070C0"/>
          <w:lang w:eastAsia="ru-RU"/>
        </w:rPr>
        <w:t xml:space="preserve">.: (044) 277-76-29, факс: (044) 277-76-30 </w:t>
      </w:r>
    </w:p>
    <w:p w14:paraId="0D38B2FA" w14:textId="77777777" w:rsidR="00AA6755" w:rsidRPr="00AA6755" w:rsidRDefault="00AA6755" w:rsidP="00AA6755">
      <w:pPr>
        <w:tabs>
          <w:tab w:val="left" w:pos="708"/>
          <w:tab w:val="center" w:pos="4153"/>
          <w:tab w:val="right" w:pos="921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14:paraId="5336E5E7" w14:textId="77777777" w:rsidR="00AA6755" w:rsidRPr="00AA6755" w:rsidRDefault="00AA6755" w:rsidP="00AA6755">
      <w:pPr>
        <w:widowControl w:val="0"/>
        <w:tabs>
          <w:tab w:val="left" w:pos="708"/>
          <w:tab w:val="center" w:pos="4153"/>
          <w:tab w:val="right" w:pos="9214"/>
        </w:tabs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</w:pPr>
      <w:r w:rsidRPr="00AA67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 w:bidi="uk-UA"/>
        </w:rPr>
        <w:t>18 березня 2025 року</w:t>
      </w:r>
      <w:r w:rsidRPr="00AA67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AA67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 xml:space="preserve"> м. Київ</w:t>
      </w:r>
    </w:p>
    <w:p w14:paraId="7C1EBAE3" w14:textId="77777777" w:rsidR="00AA6755" w:rsidRPr="00AA6755" w:rsidRDefault="00AA6755" w:rsidP="00AA6755">
      <w:pPr>
        <w:tabs>
          <w:tab w:val="left" w:pos="708"/>
          <w:tab w:val="center" w:pos="4153"/>
          <w:tab w:val="right" w:pos="830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Р І Ш Е Н </w:t>
      </w:r>
      <w:proofErr w:type="spellStart"/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Н</w:t>
      </w:r>
      <w:proofErr w:type="spellEnd"/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Я</w:t>
      </w:r>
    </w:p>
    <w:p w14:paraId="41F48CDA" w14:textId="554F1D3A" w:rsidR="00AA6755" w:rsidRPr="00AA6755" w:rsidRDefault="00AA6755" w:rsidP="00AA6755">
      <w:pPr>
        <w:tabs>
          <w:tab w:val="left" w:pos="708"/>
          <w:tab w:val="center" w:pos="4153"/>
          <w:tab w:val="right" w:pos="830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AA675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№</w:t>
      </w:r>
      <w:r w:rsidR="00E71238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12</w:t>
      </w:r>
    </w:p>
    <w:p w14:paraId="24D05B4B" w14:textId="77777777" w:rsidR="0027477D" w:rsidRDefault="0027477D" w:rsidP="0054144E">
      <w:pPr>
        <w:widowControl w:val="0"/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CC60BC" w14:textId="5D79CD93" w:rsidR="00AA6755" w:rsidRPr="00AA6755" w:rsidRDefault="00AA6755" w:rsidP="0054144E">
      <w:pPr>
        <w:widowControl w:val="0"/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5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частини першої статті 28 Закону України "Про запобігання корупції" на осіб, зазначених у пунктах 1,2 частини першої статті 3 Закону України </w:t>
      </w:r>
      <w:r w:rsidR="0054144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A6755">
        <w:rPr>
          <w:rFonts w:ascii="Times New Roman" w:eastAsia="Times New Roman" w:hAnsi="Times New Roman" w:cs="Times New Roman"/>
          <w:sz w:val="28"/>
          <w:szCs w:val="28"/>
        </w:rPr>
        <w:t>Про запобігання корупції</w:t>
      </w:r>
      <w:r w:rsidR="0054144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A6755">
        <w:rPr>
          <w:rFonts w:ascii="Times New Roman" w:eastAsia="Times New Roman" w:hAnsi="Times New Roman" w:cs="Times New Roman"/>
          <w:sz w:val="28"/>
          <w:szCs w:val="28"/>
        </w:rPr>
        <w:t xml:space="preserve">, у тому числі членів Вищої кваліфікаційної комісії суддів України (далі </w:t>
      </w:r>
      <w:r w:rsidR="008F4EB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4EBD" w:rsidRPr="008F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6755">
        <w:rPr>
          <w:rFonts w:ascii="Times New Roman" w:eastAsia="Times New Roman" w:hAnsi="Times New Roman" w:cs="Times New Roman"/>
          <w:sz w:val="28"/>
          <w:szCs w:val="28"/>
        </w:rPr>
        <w:t>ВККСУ), поширюються вимоги щодо запобігання та врегулювання конфлікту інтересів.</w:t>
      </w:r>
    </w:p>
    <w:p w14:paraId="04A7E876" w14:textId="77777777" w:rsidR="00AA6755" w:rsidRPr="00AA6755" w:rsidRDefault="00AA6755" w:rsidP="0054144E">
      <w:pPr>
        <w:widowControl w:val="0"/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55">
        <w:rPr>
          <w:rFonts w:ascii="Times New Roman" w:eastAsia="Times New Roman" w:hAnsi="Times New Roman" w:cs="Times New Roman"/>
          <w:sz w:val="28"/>
          <w:szCs w:val="28"/>
        </w:rPr>
        <w:t>Пунктом 6 частини восьмої статті 133 Закону України "Про судоустрій і статус суддів" передбачено, що Рада суддів України (далі – РСУ) здійснює контроль за додержанням вимог законодавства щодо врегулювання конфлікту інтересів у діяльності суддів, Голови чи членів Вищої кваліфікаційної комісії суддів України, Голови Державної судової адміністрації України чи його заступників; приймає рішення про врегулювання реального чи потенційного конфлікту інтересів у діяльності зазначених осіб (у разі якщо такий конфлікт не може бути врегульований у порядку, визначеному процесуальним законом).</w:t>
      </w:r>
    </w:p>
    <w:p w14:paraId="0771FB45" w14:textId="77777777" w:rsidR="0009083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>До Ради суддів України з листом від 20.01.2025 № вих-04-296/25 звернувся член ВККСУ Мельник Руслан Іванович стосовно надання роз'яснення щодо наявності чи відсутності конфлікту інтересів у діяльності членів ВККСУ</w:t>
      </w:r>
      <w:r w:rsidR="00090835">
        <w:rPr>
          <w:rFonts w:ascii="Times New Roman" w:hAnsi="Times New Roman" w:cs="Times New Roman"/>
          <w:sz w:val="28"/>
          <w:szCs w:val="28"/>
        </w:rPr>
        <w:t>.</w:t>
      </w:r>
    </w:p>
    <w:p w14:paraId="3EFC33E0" w14:textId="738692DB" w:rsidR="00090835" w:rsidRPr="00090835" w:rsidRDefault="0009083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зверненні зазначено, що </w:t>
      </w:r>
      <w:r w:rsidRPr="00090835">
        <w:rPr>
          <w:rFonts w:ascii="Times New Roman" w:hAnsi="Times New Roman" w:cs="Times New Roman"/>
          <w:sz w:val="28"/>
          <w:szCs w:val="28"/>
        </w:rPr>
        <w:t>Рішенням ВККСУ</w:t>
      </w:r>
      <w:r>
        <w:rPr>
          <w:rFonts w:ascii="Times New Roman" w:hAnsi="Times New Roman" w:cs="Times New Roman"/>
          <w:sz w:val="28"/>
          <w:szCs w:val="28"/>
        </w:rPr>
        <w:t xml:space="preserve"> від 23.10.</w:t>
      </w:r>
      <w:r w:rsidRPr="00090835">
        <w:rPr>
          <w:rFonts w:ascii="Times New Roman" w:hAnsi="Times New Roman" w:cs="Times New Roman"/>
          <w:sz w:val="28"/>
          <w:szCs w:val="28"/>
        </w:rPr>
        <w:t>2024 № 330/зп-24 утворено комісію з питань перевірки</w:t>
      </w:r>
      <w:r w:rsidRPr="00090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835">
        <w:rPr>
          <w:rFonts w:ascii="Times New Roman" w:hAnsi="Times New Roman" w:cs="Times New Roman"/>
          <w:sz w:val="28"/>
          <w:szCs w:val="28"/>
        </w:rPr>
        <w:t xml:space="preserve">наявності обставин, які можуть бути підставою для звільнення члена Вищої кваліфікаційної комісії суддів України Луганського Володимира Івановича. До складу комісії включено членів ВККСУ Руслана Мельника (голова комісії), Михайла </w:t>
      </w:r>
      <w:proofErr w:type="spellStart"/>
      <w:r w:rsidRPr="00090835">
        <w:rPr>
          <w:rFonts w:ascii="Times New Roman" w:hAnsi="Times New Roman" w:cs="Times New Roman"/>
          <w:sz w:val="28"/>
          <w:szCs w:val="28"/>
        </w:rPr>
        <w:t>Богоноса</w:t>
      </w:r>
      <w:proofErr w:type="spellEnd"/>
      <w:r w:rsidRPr="00090835">
        <w:rPr>
          <w:rFonts w:ascii="Times New Roman" w:hAnsi="Times New Roman" w:cs="Times New Roman"/>
          <w:sz w:val="28"/>
          <w:szCs w:val="28"/>
        </w:rPr>
        <w:t xml:space="preserve">, Ярослава Духа та трьох осіб, які були делеговані громадськими організаціями. </w:t>
      </w:r>
    </w:p>
    <w:p w14:paraId="6C5EEFAA" w14:textId="77777777" w:rsidR="00090835" w:rsidRPr="00090835" w:rsidRDefault="0009083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35">
        <w:rPr>
          <w:rFonts w:ascii="Times New Roman" w:hAnsi="Times New Roman" w:cs="Times New Roman"/>
          <w:sz w:val="28"/>
          <w:szCs w:val="28"/>
        </w:rPr>
        <w:t>Процедуру провадження за зверненням про наявність обставин, які можуть бути підставою для звільнення члена ВККСУ, зокрема щодо утворення комісії з питань перевірки наявності обставин, які можуть бути підставою для звільнення члена ВККСУ (</w:t>
      </w:r>
      <w:proofErr w:type="spellStart"/>
      <w:r w:rsidRPr="00090835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09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835">
        <w:rPr>
          <w:rFonts w:ascii="Times New Roman" w:hAnsi="Times New Roman" w:cs="Times New Roman"/>
          <w:sz w:val="28"/>
          <w:szCs w:val="28"/>
        </w:rPr>
        <w:t>hoc</w:t>
      </w:r>
      <w:proofErr w:type="spellEnd"/>
      <w:r w:rsidRPr="00090835">
        <w:rPr>
          <w:rFonts w:ascii="Times New Roman" w:hAnsi="Times New Roman" w:cs="Times New Roman"/>
          <w:sz w:val="28"/>
          <w:szCs w:val="28"/>
        </w:rPr>
        <w:t>), та визначення її персонального складу визначено пунктом 1</w:t>
      </w:r>
      <w:r w:rsidRPr="00090835">
        <w:rPr>
          <w:rFonts w:ascii="Times New Roman" w:hAnsi="Times New Roman" w:cs="Times New Roman"/>
          <w:iCs/>
          <w:sz w:val="28"/>
          <w:szCs w:val="28"/>
        </w:rPr>
        <w:t>7 параграфа 4 розділу І</w:t>
      </w:r>
      <w:r w:rsidRPr="00090835">
        <w:rPr>
          <w:rFonts w:ascii="Times New Roman" w:hAnsi="Times New Roman" w:cs="Times New Roman"/>
          <w:sz w:val="28"/>
          <w:szCs w:val="28"/>
        </w:rPr>
        <w:t xml:space="preserve"> Регламенту ВККСУ. Так, комісія з питань перевірки наявності обставин, які можуть бути підставою для звільнення члена ВККСУ (</w:t>
      </w:r>
      <w:proofErr w:type="spellStart"/>
      <w:r w:rsidRPr="00090835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09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835">
        <w:rPr>
          <w:rFonts w:ascii="Times New Roman" w:hAnsi="Times New Roman" w:cs="Times New Roman"/>
          <w:sz w:val="28"/>
          <w:szCs w:val="28"/>
        </w:rPr>
        <w:t>hoc</w:t>
      </w:r>
      <w:proofErr w:type="spellEnd"/>
      <w:r w:rsidRPr="00090835">
        <w:rPr>
          <w:rFonts w:ascii="Times New Roman" w:hAnsi="Times New Roman" w:cs="Times New Roman"/>
          <w:sz w:val="28"/>
          <w:szCs w:val="28"/>
        </w:rPr>
        <w:t xml:space="preserve">) ухвалює свої рішення </w:t>
      </w:r>
      <w:r w:rsidRPr="00090835">
        <w:rPr>
          <w:rFonts w:ascii="Times New Roman" w:hAnsi="Times New Roman" w:cs="Times New Roman"/>
          <w:sz w:val="28"/>
          <w:szCs w:val="28"/>
        </w:rPr>
        <w:lastRenderedPageBreak/>
        <w:t>більшістю від її складу. Члени комісії мають право отримати письмові пояснення особи, яка звернулась до Комісії з відповідним зверненням, члена ВККСУ, щодо якого надійшло таке звернення, та інших суб’єктів, отримувати від секретаріату Комісії будь-які документи та відомості (в тому числі службову інформацію і будь-яку іншу інформацію з обмеженим чи спеціальним доступом) та реалізовувати інші права ВККСУ, визначені Законом.</w:t>
      </w:r>
    </w:p>
    <w:p w14:paraId="111D3E0D" w14:textId="77777777" w:rsidR="00090835" w:rsidRPr="00090835" w:rsidRDefault="0009083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35">
        <w:rPr>
          <w:rFonts w:ascii="Times New Roman" w:hAnsi="Times New Roman" w:cs="Times New Roman"/>
          <w:bCs/>
          <w:sz w:val="28"/>
          <w:szCs w:val="28"/>
        </w:rPr>
        <w:t>За результатами розгляду отриманої інформації комісія з питань перевірки наявності обставин, які можуть бути підставою для звільнення члена ВККСУ, готує мотивований висновок, у якому зазначає про наявність чи відсутність підстав для звільнення члена Вищої кваліфікаційної комісії суддів України з посади</w:t>
      </w:r>
      <w:r w:rsidRPr="00090835">
        <w:rPr>
          <w:rFonts w:ascii="Times New Roman" w:hAnsi="Times New Roman" w:cs="Times New Roman"/>
          <w:sz w:val="28"/>
          <w:szCs w:val="28"/>
        </w:rPr>
        <w:t>, та направляє його Голові Комісії, а у разі його відсутності – заступнику Голови Комісії або члену Комісії, який виконує обов’язки Голови Комісії, для внесення на розгляд у засідання Комісії у пленарному складі.</w:t>
      </w:r>
    </w:p>
    <w:p w14:paraId="29E244C7" w14:textId="77777777" w:rsidR="00090835" w:rsidRPr="00090835" w:rsidRDefault="0009083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35">
        <w:rPr>
          <w:rFonts w:ascii="Times New Roman" w:hAnsi="Times New Roman" w:cs="Times New Roman"/>
          <w:sz w:val="28"/>
          <w:szCs w:val="28"/>
        </w:rPr>
        <w:t xml:space="preserve">Висновок Комісії з питань перевірки наявності обставин, які можуть бути підставою для звільнення члена ВККСУ </w:t>
      </w:r>
      <w:r w:rsidRPr="00090835">
        <w:rPr>
          <w:rFonts w:ascii="Times New Roman" w:hAnsi="Times New Roman" w:cs="Times New Roman"/>
          <w:bCs/>
          <w:sz w:val="28"/>
          <w:szCs w:val="28"/>
        </w:rPr>
        <w:t>не має для Комісії наперед встановленої обов’язковості,</w:t>
      </w:r>
      <w:r w:rsidRPr="00090835">
        <w:rPr>
          <w:rFonts w:ascii="Times New Roman" w:hAnsi="Times New Roman" w:cs="Times New Roman"/>
          <w:sz w:val="28"/>
          <w:szCs w:val="28"/>
        </w:rPr>
        <w:t xml:space="preserve"> а є лише підставою для розгляду відповідного питання в засіданні Комісії. </w:t>
      </w:r>
    </w:p>
    <w:p w14:paraId="687547C7" w14:textId="77777777" w:rsidR="00090835" w:rsidRPr="00090835" w:rsidRDefault="0009083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35">
        <w:rPr>
          <w:rFonts w:ascii="Times New Roman" w:hAnsi="Times New Roman" w:cs="Times New Roman"/>
          <w:sz w:val="28"/>
          <w:szCs w:val="28"/>
        </w:rPr>
        <w:t>За результатами розгляду висновку комісії з питань перевірки наявності обставин, які можуть бути підставою для звільнення члена ВККСУ, Комісія може ухвалити одне з таких рішень:</w:t>
      </w:r>
    </w:p>
    <w:p w14:paraId="764F940D" w14:textId="77777777" w:rsidR="00090835" w:rsidRPr="00090835" w:rsidRDefault="0009083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35">
        <w:rPr>
          <w:rFonts w:ascii="Times New Roman" w:hAnsi="Times New Roman" w:cs="Times New Roman"/>
          <w:sz w:val="28"/>
          <w:szCs w:val="28"/>
        </w:rPr>
        <w:t>1) про внесення подання до Вищої ради правосуддя про звільнення члена Комісії;</w:t>
      </w:r>
    </w:p>
    <w:p w14:paraId="65EFB31A" w14:textId="77777777" w:rsidR="00090835" w:rsidRPr="00090835" w:rsidRDefault="0009083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35">
        <w:rPr>
          <w:rFonts w:ascii="Times New Roman" w:hAnsi="Times New Roman" w:cs="Times New Roman"/>
          <w:sz w:val="28"/>
          <w:szCs w:val="28"/>
        </w:rPr>
        <w:t>2) про відмову у внесенні подання до Вищої ради правосуддя про звільнення члена Комісії.</w:t>
      </w:r>
    </w:p>
    <w:p w14:paraId="388DBA61" w14:textId="4ED9E7D1" w:rsidR="00AA6755" w:rsidRPr="00AA6755" w:rsidRDefault="0009083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членів ВКККСУ</w:t>
      </w:r>
      <w:r w:rsidR="00AA6755" w:rsidRPr="00AA6755">
        <w:rPr>
          <w:rFonts w:ascii="Times New Roman" w:hAnsi="Times New Roman" w:cs="Times New Roman"/>
          <w:sz w:val="28"/>
          <w:szCs w:val="28"/>
        </w:rPr>
        <w:t xml:space="preserve">, які входять до складу Комісії з питань перевірки наявності обставин, які можуть бути підставою для звільнення члена ВККСУ, </w:t>
      </w:r>
      <w:r>
        <w:rPr>
          <w:rFonts w:ascii="Times New Roman" w:hAnsi="Times New Roman" w:cs="Times New Roman"/>
          <w:sz w:val="28"/>
          <w:szCs w:val="28"/>
        </w:rPr>
        <w:t>виникли такі питання</w:t>
      </w:r>
      <w:r w:rsidR="00AA6755" w:rsidRPr="00AA6755">
        <w:rPr>
          <w:rFonts w:ascii="Times New Roman" w:hAnsi="Times New Roman" w:cs="Times New Roman"/>
          <w:sz w:val="28"/>
          <w:szCs w:val="28"/>
        </w:rPr>
        <w:t>:</w:t>
      </w:r>
    </w:p>
    <w:p w14:paraId="3033E7F7" w14:textId="2226F806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>- чи можуть члени ВККСУ, які у складі Комісії з питань перевірки наявності обставин, які можуть бути підставою для звільнення члена ВККСУ, висловили свою позицію шляхом голосування за мотивований висновок, у якому зазначено про наявність чи відсутність підстав для звільнення члена ВККСУ з посади, брати участь у розгляді цього висновку у пленарному складі ВККСУ та приймати рішення</w:t>
      </w:r>
      <w:r w:rsidR="0027477D">
        <w:rPr>
          <w:rFonts w:ascii="Times New Roman" w:hAnsi="Times New Roman" w:cs="Times New Roman"/>
          <w:sz w:val="28"/>
          <w:szCs w:val="28"/>
        </w:rPr>
        <w:t xml:space="preserve"> </w:t>
      </w:r>
      <w:r w:rsidRPr="00AA6755">
        <w:rPr>
          <w:rFonts w:ascii="Times New Roman" w:hAnsi="Times New Roman" w:cs="Times New Roman"/>
          <w:sz w:val="28"/>
          <w:szCs w:val="28"/>
        </w:rPr>
        <w:t>про внесення подання чи про відмову у внесенні подання до Вищої ради правосуддя про звільнення члена ВККСУ;</w:t>
      </w:r>
    </w:p>
    <w:p w14:paraId="5256C892" w14:textId="1648B47C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>- чи може свідчити попередня участь членів ВККСУ у складі Комісії з питань перевірки наявності обставин, які можуть бути підставою для звільнення члена ВККСУ, яка полягала у збиранні та опрацюванні відомостей щодо обставин, які можуть бути підставою для звільнення члена ВККСУ, а також у підготовці мотивованого висновку, голосування за нього, про наявність у таких членів Комісії конфлікту інтересів або обставини, що викликають сумнів у його безсторонності у</w:t>
      </w:r>
      <w:r w:rsidR="0027477D">
        <w:rPr>
          <w:rFonts w:ascii="Times New Roman" w:hAnsi="Times New Roman" w:cs="Times New Roman"/>
          <w:sz w:val="28"/>
          <w:szCs w:val="28"/>
        </w:rPr>
        <w:t xml:space="preserve"> </w:t>
      </w:r>
      <w:r w:rsidRPr="00AA6755">
        <w:rPr>
          <w:rFonts w:ascii="Times New Roman" w:hAnsi="Times New Roman" w:cs="Times New Roman"/>
          <w:sz w:val="28"/>
          <w:szCs w:val="28"/>
        </w:rPr>
        <w:t xml:space="preserve">розумінні статті 100 Закону України 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>Про судоустрій і статус суддів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>, у разі їх участі у розгляді цього висновку у пленарному складі ВККСУ та голосуванні за відповідне рішення;</w:t>
      </w:r>
    </w:p>
    <w:p w14:paraId="66595AB5" w14:textId="25FF7913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lastRenderedPageBreak/>
        <w:t xml:space="preserve">- чи мають зазначені члени ВККСУ вжити у зв'язку з цим заходи, передбачені статтею 100 Закону України 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>Про судоустрій і статус суддів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 xml:space="preserve"> у вигляді самовідводу від участі у розгляді цього висновку у пленарному складі ВККСУ та прийнятті відповідного рішення;</w:t>
      </w:r>
    </w:p>
    <w:p w14:paraId="0CF9D183" w14:textId="7BF4E40C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 xml:space="preserve">- чи буде свідчити невжиття зазначеними членами ВККСУ заходів, передбачених статтею 100 Закону України 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>Про судоустрій і статус суддів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="004D2B3A">
        <w:rPr>
          <w:rFonts w:ascii="Times New Roman" w:hAnsi="Times New Roman" w:cs="Times New Roman"/>
          <w:sz w:val="28"/>
          <w:szCs w:val="28"/>
        </w:rPr>
        <w:t xml:space="preserve"> </w:t>
      </w:r>
      <w:r w:rsidRPr="00AA6755">
        <w:rPr>
          <w:rFonts w:ascii="Times New Roman" w:hAnsi="Times New Roman" w:cs="Times New Roman"/>
          <w:sz w:val="28"/>
          <w:szCs w:val="28"/>
        </w:rPr>
        <w:t>у вигляді самовідводу, про вчинення ними дій та прийняття рішень в умовах реального конфлікту інтересів, а також про недотримання ними найвищих стандартів етичної поведінки, у тому числі принципів та правил етики, які застосовуються до суддів;</w:t>
      </w:r>
    </w:p>
    <w:p w14:paraId="66E73673" w14:textId="77777777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>- чи буде свідчити участь зазначених членів ВККСУ у розгляді цього висновку у пленарному складі ВККСУ та їхнє голосування за відповідне рішення, про ухвалення такого рішення з порушенням засад безсторонності та неупередженості.</w:t>
      </w:r>
    </w:p>
    <w:p w14:paraId="4F20CBE4" w14:textId="5CE42BF4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 xml:space="preserve">Згідно зі статтею 1 Закону України 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3ADC2B" w14:textId="77777777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>- приватний інтерес - 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політичних, релігійних чи інших організаціях;</w:t>
      </w:r>
    </w:p>
    <w:p w14:paraId="451D3E81" w14:textId="77777777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>- потенційний конфлікт інтересів -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на вчинення чи невчинення дій під час виконання зазначених повноважень;</w:t>
      </w:r>
    </w:p>
    <w:p w14:paraId="0DF3AF63" w14:textId="77777777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>- реальний конфлікт інтересів – суперечність між приватним інтересом особи та її службовими чи представницькими повноваженнями, що впливає на об’єктивність або неупередженість прийняття рішень, або на вчинення чи невчинення дій під час виконання зазначених повноважень.</w:t>
      </w:r>
    </w:p>
    <w:p w14:paraId="589C183E" w14:textId="4AC778F1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 xml:space="preserve">З аналізу норм Закону України 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 xml:space="preserve"> випливає, що для правильного застосування заходів щодо запобігання та врегулювання конфлікту інтересів у конкретному випадку необхідно встановити обов’язкові ознаки, які визначають поняття конфлікту інтересів у їх взаємозв’язку:</w:t>
      </w:r>
    </w:p>
    <w:p w14:paraId="775AF3F6" w14:textId="2780138D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 xml:space="preserve">1) наявність приватного інтересу </w:t>
      </w:r>
      <w:r w:rsidR="0054144E">
        <w:rPr>
          <w:rFonts w:ascii="Times New Roman" w:hAnsi="Times New Roman" w:cs="Times New Roman"/>
          <w:sz w:val="28"/>
          <w:szCs w:val="28"/>
        </w:rPr>
        <w:t>члена ВККСУ</w:t>
      </w:r>
      <w:r w:rsidRPr="00AA6755">
        <w:rPr>
          <w:rFonts w:ascii="Times New Roman" w:hAnsi="Times New Roman" w:cs="Times New Roman"/>
          <w:sz w:val="28"/>
          <w:szCs w:val="28"/>
        </w:rPr>
        <w:t>;</w:t>
      </w:r>
    </w:p>
    <w:p w14:paraId="774E24B7" w14:textId="0D167FA4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 xml:space="preserve">2) посадові повноваженні </w:t>
      </w:r>
      <w:r w:rsidR="0054144E">
        <w:rPr>
          <w:rFonts w:ascii="Times New Roman" w:hAnsi="Times New Roman" w:cs="Times New Roman"/>
          <w:sz w:val="28"/>
          <w:szCs w:val="28"/>
        </w:rPr>
        <w:t>члена ВККСУ</w:t>
      </w:r>
      <w:r w:rsidRPr="00AA6755">
        <w:rPr>
          <w:rFonts w:ascii="Times New Roman" w:hAnsi="Times New Roman" w:cs="Times New Roman"/>
          <w:sz w:val="28"/>
          <w:szCs w:val="28"/>
        </w:rPr>
        <w:t>;</w:t>
      </w:r>
    </w:p>
    <w:p w14:paraId="0BE38688" w14:textId="77777777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>3) суперечність між приватним інтересом і посадовими повноваженнями.</w:t>
      </w:r>
    </w:p>
    <w:p w14:paraId="32ACC13C" w14:textId="40E79678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 xml:space="preserve">За змістом статті 1 Закону України 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Pr="00AA6755">
        <w:rPr>
          <w:rFonts w:ascii="Times New Roman" w:hAnsi="Times New Roman" w:cs="Times New Roman"/>
          <w:sz w:val="28"/>
          <w:szCs w:val="28"/>
        </w:rPr>
        <w:t xml:space="preserve"> приватним інтересом є 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політичних, релігійних чи інших організаціях.</w:t>
      </w:r>
    </w:p>
    <w:p w14:paraId="287DEC9F" w14:textId="77777777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lastRenderedPageBreak/>
        <w:t>Немайновий інтерес, за визначенням закону, є інтересом, пов’язаним з особистими, сімейними, дружніми та іншими позаслужбовими стосунками судді.</w:t>
      </w:r>
    </w:p>
    <w:p w14:paraId="01EB50BB" w14:textId="77777777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 xml:space="preserve">Отже, виходячи з аналізу наведених норм чинного законодавства для уникнення конфлікту інтересів необхідно виходити з приватного інтересу, брати до уваги весь спектр відносин (особисті, дружні, позаслужбові тощо). </w:t>
      </w:r>
    </w:p>
    <w:p w14:paraId="3B84B58E" w14:textId="77777777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>Фактично ніхто інший, крім самого члена ВККСУ не може достеменно знати, чи є в нього приватний інтерес у справі/питанні, яку/яке він розглядає.</w:t>
      </w:r>
    </w:p>
    <w:p w14:paraId="6D35D516" w14:textId="210725A6" w:rsidR="00AA6755" w:rsidRPr="00AF250A" w:rsidRDefault="00AA6755" w:rsidP="0054144E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755">
        <w:rPr>
          <w:rFonts w:ascii="Times New Roman" w:hAnsi="Times New Roman" w:cs="Times New Roman"/>
          <w:sz w:val="28"/>
          <w:szCs w:val="28"/>
        </w:rPr>
        <w:t xml:space="preserve">При визначенні наявності чи відсутності конфлікту інтересів слід перш за все виходити з приватного інтересу члена ВККСУ та можливості впливу такого приватного інтересу на об’єктивність чи неупередженість рішення такого члена ВККСУ. </w:t>
      </w:r>
    </w:p>
    <w:p w14:paraId="453CAF4B" w14:textId="0EB72E76" w:rsidR="00AA6755" w:rsidRPr="00AA6755" w:rsidRDefault="00AA6755" w:rsidP="0054144E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членів ВККСУ у складі Комісії з питань перевірки</w:t>
      </w:r>
      <w:r w:rsidRPr="00AA6755">
        <w:rPr>
          <w:rFonts w:ascii="Times New Roman" w:hAnsi="Times New Roman" w:cs="Times New Roman"/>
          <w:sz w:val="28"/>
          <w:szCs w:val="28"/>
        </w:rPr>
        <w:t xml:space="preserve"> наявності обставин, які можуть бути підставою для звільнення члена ВККСУ</w:t>
      </w:r>
      <w:r w:rsidRPr="00A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здійснювали збір, опрацювання інформації та підготовку мотивованого висновку, не створює приватного інтересу, оскільки вони діяли виключно в межах своїх службових повноважень і виконували </w:t>
      </w:r>
      <w:r w:rsidR="0054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свої службові </w:t>
      </w:r>
      <w:r w:rsidRPr="00A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r w:rsidR="00541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Їхня діяльність не була спрямована на досягнення особистої вигоди, захисту родинних чи інших приватних інтересів.</w:t>
      </w:r>
    </w:p>
    <w:p w14:paraId="0AB5C1D0" w14:textId="77777777" w:rsidR="003539FF" w:rsidRPr="003539FF" w:rsidRDefault="003539FF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FF">
        <w:rPr>
          <w:rFonts w:ascii="Times New Roman" w:hAnsi="Times New Roman" w:cs="Times New Roman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sz w:val="28"/>
          <w:szCs w:val="28"/>
        </w:rPr>
        <w:t>частиною дев’ятою</w:t>
      </w:r>
      <w:r w:rsidRPr="003539F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атті </w:t>
      </w:r>
      <w:r w:rsidRPr="003539FF">
        <w:rPr>
          <w:rFonts w:ascii="Times New Roman" w:hAnsi="Times New Roman" w:cs="Times New Roman"/>
          <w:sz w:val="28"/>
          <w:szCs w:val="28"/>
        </w:rPr>
        <w:t>94 Закону члени ВККСУ зобов’язані у своїй діяльності та поза її межами дотримуватися найвищих стандартів етичної поведінки, у тому числі принципів та правил етики, які застосовуються до суддів.</w:t>
      </w:r>
    </w:p>
    <w:p w14:paraId="63C731A5" w14:textId="5773A6C5" w:rsidR="004D2B3A" w:rsidRPr="000C3A3B" w:rsidRDefault="004D2B3A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3B">
        <w:rPr>
          <w:rFonts w:ascii="Times New Roman" w:hAnsi="Times New Roman" w:cs="Times New Roman"/>
          <w:sz w:val="28"/>
          <w:szCs w:val="28"/>
        </w:rPr>
        <w:t>Відповідно до статті 100 Закону член Вищої кваліфікаційної комісії суддів України не має права брати участь у розгляді питання та ухваленні рішення і підлягає відводу (самовідводу), якщо наявні дані про конфлікт інтересів або обставини, що викликають сумнів у його безсторонності.</w:t>
      </w:r>
      <w:bookmarkStart w:id="1" w:name="n1085"/>
      <w:bookmarkEnd w:id="1"/>
      <w:r w:rsidRPr="000C3A3B">
        <w:rPr>
          <w:rFonts w:ascii="Times New Roman" w:hAnsi="Times New Roman" w:cs="Times New Roman"/>
          <w:sz w:val="28"/>
          <w:szCs w:val="28"/>
        </w:rPr>
        <w:t xml:space="preserve"> За наявності таких обставин член ВККСУ повинен заявити самовідвід. Із тих самих підстав відвід члену Комісії можуть заявити особи, щодо яких або за поданням яких розглядається питання.</w:t>
      </w:r>
    </w:p>
    <w:p w14:paraId="2A39CA4A" w14:textId="247E1C51" w:rsidR="0054144E" w:rsidRDefault="008F4EBD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086"/>
      <w:bookmarkEnd w:id="2"/>
      <w:r>
        <w:rPr>
          <w:rFonts w:ascii="Times New Roman" w:hAnsi="Times New Roman" w:cs="Times New Roman"/>
          <w:sz w:val="28"/>
          <w:szCs w:val="28"/>
        </w:rPr>
        <w:t>Слід</w:t>
      </w:r>
      <w:r w:rsidR="00AA6755" w:rsidRPr="000C3A3B">
        <w:rPr>
          <w:rFonts w:ascii="Times New Roman" w:hAnsi="Times New Roman" w:cs="Times New Roman"/>
          <w:sz w:val="28"/>
          <w:szCs w:val="28"/>
        </w:rPr>
        <w:t xml:space="preserve"> зазначити, що застосування підходу </w:t>
      </w:r>
      <w:r w:rsidR="00AA6755" w:rsidRPr="004C16FD">
        <w:rPr>
          <w:rFonts w:ascii="Times New Roman" w:hAnsi="Times New Roman" w:cs="Times New Roman"/>
          <w:sz w:val="28"/>
          <w:szCs w:val="28"/>
        </w:rPr>
        <w:t xml:space="preserve">стороннього спостерігача для оцінки безсторонності у даному випадку є </w:t>
      </w:r>
      <w:r w:rsidR="0054144E" w:rsidRPr="004C16FD">
        <w:rPr>
          <w:rFonts w:ascii="Times New Roman" w:hAnsi="Times New Roman" w:cs="Times New Roman"/>
          <w:sz w:val="28"/>
          <w:szCs w:val="28"/>
        </w:rPr>
        <w:t>суттєвим</w:t>
      </w:r>
      <w:r w:rsidR="004D2B3A" w:rsidRPr="004C16FD">
        <w:rPr>
          <w:rFonts w:ascii="Times New Roman" w:hAnsi="Times New Roman" w:cs="Times New Roman"/>
          <w:sz w:val="28"/>
          <w:szCs w:val="28"/>
        </w:rPr>
        <w:t xml:space="preserve"> </w:t>
      </w:r>
      <w:r w:rsidR="00AA6755" w:rsidRPr="004C16FD">
        <w:rPr>
          <w:rFonts w:ascii="Times New Roman" w:hAnsi="Times New Roman" w:cs="Times New Roman"/>
          <w:sz w:val="28"/>
          <w:szCs w:val="28"/>
        </w:rPr>
        <w:t>критерієм, оскільки необхідно враховувати важливість довіри суспі</w:t>
      </w:r>
      <w:r w:rsidR="00AA6755" w:rsidRPr="00AA6755">
        <w:rPr>
          <w:rFonts w:ascii="Times New Roman" w:hAnsi="Times New Roman" w:cs="Times New Roman"/>
          <w:sz w:val="28"/>
          <w:szCs w:val="28"/>
        </w:rPr>
        <w:t xml:space="preserve">льства до діяльності ВККСУ. </w:t>
      </w:r>
    </w:p>
    <w:p w14:paraId="64F0B021" w14:textId="4A480D0F" w:rsidR="00AA6755" w:rsidRDefault="0054144E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тому в</w:t>
      </w:r>
      <w:r w:rsidR="00AA6755" w:rsidRPr="00AA6755">
        <w:rPr>
          <w:rFonts w:ascii="Times New Roman" w:hAnsi="Times New Roman" w:cs="Times New Roman"/>
          <w:sz w:val="28"/>
          <w:szCs w:val="28"/>
        </w:rPr>
        <w:t xml:space="preserve"> окремих випадках члени ВККСУ можуть заявити самовідвід, щоб уникнути будь-яких сумнівів у неупередженості та безсторонності розгляду. Водночас така відмова від участі у розгляді справи не є визнанням наявності конфлікту інтересів, а лише способом забезпечення максимальної довіри до процесу ухвалення рішень.</w:t>
      </w:r>
    </w:p>
    <w:bookmarkEnd w:id="0"/>
    <w:p w14:paraId="00AA61B2" w14:textId="31318789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6755">
        <w:rPr>
          <w:rFonts w:ascii="Times New Roman" w:eastAsia="Calibri" w:hAnsi="Times New Roman" w:cs="Times New Roman"/>
          <w:bCs/>
          <w:sz w:val="28"/>
          <w:szCs w:val="28"/>
        </w:rPr>
        <w:t>Заслухавши та обговоривши інформацію голови Комітету Ради суддів України з питань дотримання етичних норм, запобігання корупції і врегулювання конфлікту інтересів Краснова Є.В. стосовно отримання роз'яснень з приводу врегулювання конфлікту інтересів у діяльності членів Вищої кваліфікаційної комісії суддів України, відповідно до статті 133 "Про судоустрій і статус суддів", статей 1, 28, 35</w:t>
      </w:r>
      <w:r w:rsidRPr="00AA675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-1</w:t>
      </w:r>
      <w:r w:rsidRPr="00AA6755">
        <w:rPr>
          <w:rFonts w:ascii="Times New Roman" w:eastAsia="Calibri" w:hAnsi="Times New Roman" w:cs="Times New Roman"/>
          <w:bCs/>
          <w:sz w:val="28"/>
          <w:szCs w:val="28"/>
        </w:rPr>
        <w:t xml:space="preserve"> Закону України "Про запобігання </w:t>
      </w:r>
      <w:r w:rsidRPr="00AA675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корупції", Порядку здійснення контролю за дотриманням законодавства щодо конфлікту інтересів в діяльності суддів та інших представників судової системи та його врегулювання, затвердженого рішенням Ради суддів України від 04</w:t>
      </w:r>
      <w:r w:rsidR="00D803B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803B2" w:rsidRPr="00D803B2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="00D803B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A6755">
        <w:rPr>
          <w:rFonts w:ascii="Times New Roman" w:eastAsia="Calibri" w:hAnsi="Times New Roman" w:cs="Times New Roman"/>
          <w:bCs/>
          <w:sz w:val="28"/>
          <w:szCs w:val="28"/>
        </w:rPr>
        <w:t xml:space="preserve">2016 </w:t>
      </w:r>
      <w:r w:rsidR="00D803B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A6755">
        <w:rPr>
          <w:rFonts w:ascii="Times New Roman" w:eastAsia="Calibri" w:hAnsi="Times New Roman" w:cs="Times New Roman"/>
          <w:bCs/>
          <w:sz w:val="28"/>
          <w:szCs w:val="28"/>
        </w:rPr>
        <w:t>№ 2 (зі змінами), Положення про Раду суддів України, затвердженого Х позачерговим з’їздом суддів України 16</w:t>
      </w:r>
      <w:r w:rsidR="00D803B2">
        <w:rPr>
          <w:rFonts w:ascii="Times New Roman" w:eastAsia="Calibri" w:hAnsi="Times New Roman" w:cs="Times New Roman"/>
          <w:bCs/>
          <w:sz w:val="28"/>
          <w:szCs w:val="28"/>
        </w:rPr>
        <w:t>.09.</w:t>
      </w:r>
      <w:r w:rsidRPr="00AA6755">
        <w:rPr>
          <w:rFonts w:ascii="Times New Roman" w:eastAsia="Calibri" w:hAnsi="Times New Roman" w:cs="Times New Roman"/>
          <w:bCs/>
          <w:sz w:val="28"/>
          <w:szCs w:val="28"/>
        </w:rPr>
        <w:t>2010 (із подальшими змінами), Рада суддів України</w:t>
      </w:r>
    </w:p>
    <w:p w14:paraId="7BCA44DD" w14:textId="77777777" w:rsidR="00AA6755" w:rsidRPr="00AA6755" w:rsidRDefault="00AA6755" w:rsidP="0054144E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6755">
        <w:rPr>
          <w:rFonts w:ascii="Times New Roman" w:eastAsia="Calibri" w:hAnsi="Times New Roman" w:cs="Times New Roman"/>
          <w:b/>
          <w:bCs/>
          <w:sz w:val="28"/>
          <w:szCs w:val="28"/>
        </w:rPr>
        <w:t>в и р і ш и л а:</w:t>
      </w:r>
    </w:p>
    <w:p w14:paraId="1605BF4C" w14:textId="5CC0356D" w:rsidR="00AA6755" w:rsidRPr="0054144E" w:rsidRDefault="0054144E" w:rsidP="0054144E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</w:t>
      </w:r>
      <w:r w:rsidR="00AA6755" w:rsidRPr="005414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Вважати, що за відсутності приватного інтересу та за умови сумлінного виконання службових обов’язків у членів ВККСУ, які входять</w:t>
      </w:r>
      <w:r w:rsidR="00AA6755" w:rsidRPr="0054144E">
        <w:rPr>
          <w:rFonts w:ascii="Times New Roman" w:hAnsi="Times New Roman" w:cs="Times New Roman"/>
          <w:sz w:val="28"/>
          <w:szCs w:val="28"/>
        </w:rPr>
        <w:t xml:space="preserve"> до </w:t>
      </w:r>
      <w:r w:rsidR="00AA6755" w:rsidRPr="005414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складу Комісії з питань перевірки наявності обставин, які можуть бути підставою для звільнення члена ВККСУ, та брали участь у збиранні та опрацюванні відомостей щодо обставин, які можуть бути підставою для звільнення члена ВККСУ, а також у підготовці мотивованого висновку щодо наявності чи відсутності підстав для звільнення члена ВККСУ з посади, відсутній </w:t>
      </w:r>
      <w:r w:rsidR="00AA6755" w:rsidRPr="0054144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bidi="uk-UA"/>
        </w:rPr>
        <w:t xml:space="preserve">конфлікт інтересів під час їх участі </w:t>
      </w:r>
      <w:r w:rsidR="00AA6755" w:rsidRPr="005414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 пленарному складі ВККСУ та участі цих членів ВККСУ у голосуванні за такий мотивований висновок.</w:t>
      </w:r>
    </w:p>
    <w:p w14:paraId="583B6439" w14:textId="0E9E259E" w:rsidR="00090835" w:rsidRPr="00AA6755" w:rsidRDefault="000C3A3B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0835" w:rsidRPr="00AA6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90835" w:rsidRPr="00AA6755">
        <w:rPr>
          <w:rFonts w:ascii="Times New Roman" w:hAnsi="Times New Roman" w:cs="Times New Roman"/>
          <w:sz w:val="28"/>
          <w:szCs w:val="28"/>
        </w:rPr>
        <w:t xml:space="preserve">лени ВККСУ, які у складі Комісії з питань перевірки наявності обставин, які можуть бути підставою для звільнення члена ВККСУ, висловили свою позицію шляхом голосування за мотивований висновок, у якому зазначено про наявність чи відсутність підстав для звільнення члена ВККСУ з посади, </w:t>
      </w:r>
      <w:r>
        <w:rPr>
          <w:rFonts w:ascii="Times New Roman" w:hAnsi="Times New Roman" w:cs="Times New Roman"/>
          <w:sz w:val="28"/>
          <w:szCs w:val="28"/>
        </w:rPr>
        <w:t xml:space="preserve">не можуть </w:t>
      </w:r>
      <w:r w:rsidR="00090835" w:rsidRPr="00AA6755">
        <w:rPr>
          <w:rFonts w:ascii="Times New Roman" w:hAnsi="Times New Roman" w:cs="Times New Roman"/>
          <w:sz w:val="28"/>
          <w:szCs w:val="28"/>
        </w:rPr>
        <w:t>брати участь у розгляді цього висновку у пленарному складі ВККСУ та приймати рішення</w:t>
      </w:r>
      <w:r w:rsidR="0027477D">
        <w:rPr>
          <w:rFonts w:ascii="Times New Roman" w:hAnsi="Times New Roman" w:cs="Times New Roman"/>
          <w:sz w:val="28"/>
          <w:szCs w:val="28"/>
        </w:rPr>
        <w:t xml:space="preserve"> </w:t>
      </w:r>
      <w:r w:rsidR="00090835" w:rsidRPr="00AA6755">
        <w:rPr>
          <w:rFonts w:ascii="Times New Roman" w:hAnsi="Times New Roman" w:cs="Times New Roman"/>
          <w:sz w:val="28"/>
          <w:szCs w:val="28"/>
        </w:rPr>
        <w:t>про внесення подання чи про відмову у внесенні подання до Вищої ради правосуддя про звільнення члена ВККСУ</w:t>
      </w:r>
      <w:r>
        <w:rPr>
          <w:rFonts w:ascii="Times New Roman" w:hAnsi="Times New Roman" w:cs="Times New Roman"/>
          <w:sz w:val="28"/>
          <w:szCs w:val="28"/>
        </w:rPr>
        <w:t>, оскільки</w:t>
      </w:r>
      <w:r w:rsidR="00090835" w:rsidRPr="00AA6755">
        <w:rPr>
          <w:rFonts w:ascii="Times New Roman" w:hAnsi="Times New Roman" w:cs="Times New Roman"/>
          <w:sz w:val="28"/>
          <w:szCs w:val="28"/>
        </w:rPr>
        <w:t xml:space="preserve"> попередня участь членів ВККСУ у складі Комісії з питань перевірки наявності обставин, які можуть бути підставою для звільнення члена ВККСУ, яка полягала у збиранні та опрацюванні відомостей щод</w:t>
      </w:r>
      <w:r w:rsidR="00090835" w:rsidRPr="004C16FD">
        <w:rPr>
          <w:rFonts w:ascii="Times New Roman" w:hAnsi="Times New Roman" w:cs="Times New Roman"/>
          <w:sz w:val="28"/>
          <w:szCs w:val="28"/>
        </w:rPr>
        <w:t xml:space="preserve">о обставин, які можуть бути підставою для звільнення члена ВККСУ, </w:t>
      </w:r>
      <w:r w:rsidRPr="004C16FD">
        <w:rPr>
          <w:rFonts w:ascii="Times New Roman" w:hAnsi="Times New Roman" w:cs="Times New Roman"/>
          <w:sz w:val="28"/>
          <w:szCs w:val="28"/>
        </w:rPr>
        <w:t>може</w:t>
      </w:r>
      <w:r w:rsidR="00090835" w:rsidRPr="004C16FD">
        <w:rPr>
          <w:rFonts w:ascii="Times New Roman" w:hAnsi="Times New Roman" w:cs="Times New Roman"/>
          <w:sz w:val="28"/>
          <w:szCs w:val="28"/>
        </w:rPr>
        <w:t xml:space="preserve"> виклика</w:t>
      </w:r>
      <w:r w:rsidR="004C16FD" w:rsidRPr="004C16FD">
        <w:rPr>
          <w:rFonts w:ascii="Times New Roman" w:hAnsi="Times New Roman" w:cs="Times New Roman"/>
          <w:sz w:val="28"/>
          <w:szCs w:val="28"/>
        </w:rPr>
        <w:t xml:space="preserve">ти </w:t>
      </w:r>
      <w:r w:rsidR="00090835" w:rsidRPr="004C16FD">
        <w:rPr>
          <w:rFonts w:ascii="Times New Roman" w:hAnsi="Times New Roman" w:cs="Times New Roman"/>
          <w:sz w:val="28"/>
          <w:szCs w:val="28"/>
        </w:rPr>
        <w:t>сумнів</w:t>
      </w:r>
      <w:r w:rsidR="004C16FD" w:rsidRPr="004C16FD">
        <w:rPr>
          <w:rFonts w:ascii="Times New Roman" w:hAnsi="Times New Roman" w:cs="Times New Roman"/>
          <w:sz w:val="28"/>
          <w:szCs w:val="28"/>
        </w:rPr>
        <w:t>и</w:t>
      </w:r>
      <w:r w:rsidR="00090835" w:rsidRPr="004C16FD">
        <w:rPr>
          <w:rFonts w:ascii="Times New Roman" w:hAnsi="Times New Roman" w:cs="Times New Roman"/>
          <w:sz w:val="28"/>
          <w:szCs w:val="28"/>
        </w:rPr>
        <w:t xml:space="preserve"> у </w:t>
      </w:r>
      <w:r w:rsidR="004C16FD" w:rsidRPr="004C16FD">
        <w:rPr>
          <w:rFonts w:ascii="Times New Roman" w:hAnsi="Times New Roman" w:cs="Times New Roman"/>
          <w:sz w:val="28"/>
          <w:szCs w:val="28"/>
        </w:rPr>
        <w:t xml:space="preserve">їх </w:t>
      </w:r>
      <w:r w:rsidR="00090835" w:rsidRPr="004C16FD">
        <w:rPr>
          <w:rFonts w:ascii="Times New Roman" w:hAnsi="Times New Roman" w:cs="Times New Roman"/>
          <w:sz w:val="28"/>
          <w:szCs w:val="28"/>
        </w:rPr>
        <w:t xml:space="preserve">безсторонності </w:t>
      </w:r>
      <w:r w:rsidRPr="004C16FD">
        <w:rPr>
          <w:rFonts w:ascii="Times New Roman" w:hAnsi="Times New Roman" w:cs="Times New Roman"/>
          <w:sz w:val="28"/>
          <w:szCs w:val="28"/>
        </w:rPr>
        <w:t xml:space="preserve">та неупередженості </w:t>
      </w:r>
      <w:r w:rsidR="00090835" w:rsidRPr="004C16FD">
        <w:rPr>
          <w:rFonts w:ascii="Times New Roman" w:hAnsi="Times New Roman" w:cs="Times New Roman"/>
          <w:sz w:val="28"/>
          <w:szCs w:val="28"/>
        </w:rPr>
        <w:t>у</w:t>
      </w:r>
      <w:r w:rsidR="0027477D">
        <w:rPr>
          <w:rFonts w:ascii="Times New Roman" w:hAnsi="Times New Roman" w:cs="Times New Roman"/>
          <w:sz w:val="28"/>
          <w:szCs w:val="28"/>
        </w:rPr>
        <w:t xml:space="preserve"> </w:t>
      </w:r>
      <w:r w:rsidR="00090835" w:rsidRPr="004C16FD">
        <w:rPr>
          <w:rFonts w:ascii="Times New Roman" w:hAnsi="Times New Roman" w:cs="Times New Roman"/>
          <w:sz w:val="28"/>
          <w:szCs w:val="28"/>
        </w:rPr>
        <w:t>розумінні статті 100 Закону Україн</w:t>
      </w:r>
      <w:r w:rsidR="00090835" w:rsidRPr="00AA6755">
        <w:rPr>
          <w:rFonts w:ascii="Times New Roman" w:hAnsi="Times New Roman" w:cs="Times New Roman"/>
          <w:sz w:val="28"/>
          <w:szCs w:val="28"/>
        </w:rPr>
        <w:t xml:space="preserve">и 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="00090835" w:rsidRPr="00AA6755">
        <w:rPr>
          <w:rFonts w:ascii="Times New Roman" w:hAnsi="Times New Roman" w:cs="Times New Roman"/>
          <w:sz w:val="28"/>
          <w:szCs w:val="28"/>
        </w:rPr>
        <w:t>Про судоустрій і статус суддів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0D611" w14:textId="263AECE1" w:rsidR="00090835" w:rsidRPr="00AA6755" w:rsidRDefault="00E71238" w:rsidP="0054144E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Рекомендувати членам ВК</w:t>
      </w:r>
      <w:r w:rsidR="000C3A3B">
        <w:rPr>
          <w:rFonts w:ascii="Times New Roman" w:hAnsi="Times New Roman" w:cs="Times New Roman"/>
          <w:sz w:val="28"/>
          <w:szCs w:val="28"/>
        </w:rPr>
        <w:t>КСУ, які входили до складу</w:t>
      </w:r>
      <w:r w:rsidR="000C3A3B" w:rsidRPr="000C3A3B">
        <w:rPr>
          <w:rFonts w:ascii="Times New Roman" w:hAnsi="Times New Roman" w:cs="Times New Roman"/>
          <w:sz w:val="28"/>
          <w:szCs w:val="28"/>
        </w:rPr>
        <w:t xml:space="preserve"> Комісії з питань перевірки наявності обставин, які можуть бути підставою для звільнення члена ВККСУ, </w:t>
      </w:r>
      <w:r w:rsidR="00090835" w:rsidRPr="00AA6755">
        <w:rPr>
          <w:rFonts w:ascii="Times New Roman" w:hAnsi="Times New Roman" w:cs="Times New Roman"/>
          <w:sz w:val="28"/>
          <w:szCs w:val="28"/>
        </w:rPr>
        <w:t>вжи</w:t>
      </w:r>
      <w:r w:rsidR="000C3A3B">
        <w:rPr>
          <w:rFonts w:ascii="Times New Roman" w:hAnsi="Times New Roman" w:cs="Times New Roman"/>
          <w:sz w:val="28"/>
          <w:szCs w:val="28"/>
        </w:rPr>
        <w:t>вати</w:t>
      </w:r>
      <w:r w:rsidR="00090835" w:rsidRPr="00AA6755">
        <w:rPr>
          <w:rFonts w:ascii="Times New Roman" w:hAnsi="Times New Roman" w:cs="Times New Roman"/>
          <w:sz w:val="28"/>
          <w:szCs w:val="28"/>
        </w:rPr>
        <w:t xml:space="preserve"> у зв'язку з </w:t>
      </w:r>
      <w:r w:rsidR="000C3A3B">
        <w:rPr>
          <w:rFonts w:ascii="Times New Roman" w:hAnsi="Times New Roman" w:cs="Times New Roman"/>
          <w:sz w:val="28"/>
          <w:szCs w:val="28"/>
        </w:rPr>
        <w:t>зазначеними обставинами</w:t>
      </w:r>
      <w:r w:rsidR="00090835" w:rsidRPr="00AA6755">
        <w:rPr>
          <w:rFonts w:ascii="Times New Roman" w:hAnsi="Times New Roman" w:cs="Times New Roman"/>
          <w:sz w:val="28"/>
          <w:szCs w:val="28"/>
        </w:rPr>
        <w:t xml:space="preserve"> заходи, передбачені статтею 100 Закону України 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="00090835" w:rsidRPr="00AA6755">
        <w:rPr>
          <w:rFonts w:ascii="Times New Roman" w:hAnsi="Times New Roman" w:cs="Times New Roman"/>
          <w:sz w:val="28"/>
          <w:szCs w:val="28"/>
        </w:rPr>
        <w:t>Про судоустрій і статус суддів</w:t>
      </w:r>
      <w:r w:rsidR="0054144E">
        <w:rPr>
          <w:rFonts w:ascii="Times New Roman" w:hAnsi="Times New Roman" w:cs="Times New Roman"/>
          <w:sz w:val="28"/>
          <w:szCs w:val="28"/>
        </w:rPr>
        <w:t>"</w:t>
      </w:r>
      <w:r w:rsidR="00090835" w:rsidRPr="00AA6755">
        <w:rPr>
          <w:rFonts w:ascii="Times New Roman" w:hAnsi="Times New Roman" w:cs="Times New Roman"/>
          <w:sz w:val="28"/>
          <w:szCs w:val="28"/>
        </w:rPr>
        <w:t xml:space="preserve"> у вигляді самовідводу від участі у розгляді </w:t>
      </w:r>
      <w:r w:rsidR="008F4EBD">
        <w:rPr>
          <w:rFonts w:ascii="Times New Roman" w:hAnsi="Times New Roman" w:cs="Times New Roman"/>
          <w:sz w:val="28"/>
          <w:szCs w:val="28"/>
        </w:rPr>
        <w:t>висновку</w:t>
      </w:r>
      <w:r w:rsidR="008F4EBD" w:rsidRPr="008F4EBD">
        <w:rPr>
          <w:rFonts w:ascii="Times New Roman" w:hAnsi="Times New Roman" w:cs="Times New Roman"/>
          <w:sz w:val="28"/>
          <w:szCs w:val="28"/>
        </w:rPr>
        <w:t>, у якому зазначено про наявність чи відсутність підстав для звільнення члена ВККСУ з посади,</w:t>
      </w:r>
      <w:r w:rsidR="008F4EBD">
        <w:rPr>
          <w:rFonts w:ascii="Times New Roman" w:hAnsi="Times New Roman" w:cs="Times New Roman"/>
          <w:sz w:val="28"/>
          <w:szCs w:val="28"/>
        </w:rPr>
        <w:t xml:space="preserve"> </w:t>
      </w:r>
      <w:r w:rsidR="00090835" w:rsidRPr="00AA6755">
        <w:rPr>
          <w:rFonts w:ascii="Times New Roman" w:hAnsi="Times New Roman" w:cs="Times New Roman"/>
          <w:sz w:val="28"/>
          <w:szCs w:val="28"/>
        </w:rPr>
        <w:t>у пленарному складі ВККСУ та прийнятті відповідного рішення</w:t>
      </w:r>
      <w:r w:rsidR="000C3A3B">
        <w:rPr>
          <w:rFonts w:ascii="Times New Roman" w:hAnsi="Times New Roman" w:cs="Times New Roman"/>
          <w:sz w:val="28"/>
          <w:szCs w:val="28"/>
        </w:rPr>
        <w:t>.</w:t>
      </w:r>
    </w:p>
    <w:p w14:paraId="7F8524E8" w14:textId="5578479B" w:rsidR="000C3A3B" w:rsidRPr="000C3A3B" w:rsidRDefault="000C3A3B" w:rsidP="0054144E">
      <w:pPr>
        <w:spacing w:after="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Р</w:t>
      </w:r>
      <w:r w:rsidRPr="000C3A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екомендувати ВККСУ розробити та внести відповідні зміни до Регламенту ВККСУ щодо неможливості участі членів ВККСУ, які входять до складу Комісії з питань перевірки наявності обставин, які можуть бути підставою для звільнення члена ВККСУ, у пленарному складі ВККСУ.</w:t>
      </w:r>
    </w:p>
    <w:p w14:paraId="7A7F1B23" w14:textId="77777777" w:rsidR="00AA6755" w:rsidRDefault="00AA6755" w:rsidP="008F4EBD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3BECA14A" w14:textId="77777777" w:rsidR="00DA27AC" w:rsidRDefault="00DA27AC" w:rsidP="000C3A3B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94112C9" w14:textId="77777777" w:rsidR="00AA6755" w:rsidRPr="00AA6755" w:rsidRDefault="00AA6755" w:rsidP="000C3A3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Голова </w:t>
      </w:r>
    </w:p>
    <w:p w14:paraId="507A99A3" w14:textId="10D49F24" w:rsidR="00AA6755" w:rsidRPr="00AA6755" w:rsidRDefault="00AA6755" w:rsidP="00AA675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uk-UA" w:bidi="uk-UA"/>
        </w:rPr>
      </w:pPr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Ради суддів України</w:t>
      </w:r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="0027477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</w:t>
      </w:r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="0027477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</w:t>
      </w:r>
      <w:r w:rsidRPr="00AA675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Б.С. Моніч</w:t>
      </w:r>
    </w:p>
    <w:sectPr w:rsidR="00AA6755" w:rsidRPr="00AA6755" w:rsidSect="00571A93">
      <w:headerReference w:type="default" r:id="rId8"/>
      <w:headerReference w:type="first" r:id="rId9"/>
      <w:pgSz w:w="11900" w:h="16840"/>
      <w:pgMar w:top="851" w:right="850" w:bottom="851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18D1" w14:textId="77777777" w:rsidR="00BD129D" w:rsidRDefault="00BD129D">
      <w:pPr>
        <w:spacing w:after="0" w:line="240" w:lineRule="auto"/>
      </w:pPr>
      <w:r>
        <w:separator/>
      </w:r>
    </w:p>
  </w:endnote>
  <w:endnote w:type="continuationSeparator" w:id="0">
    <w:p w14:paraId="5694615A" w14:textId="77777777" w:rsidR="00BD129D" w:rsidRDefault="00BD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19D7" w14:textId="77777777" w:rsidR="00BD129D" w:rsidRDefault="00BD129D">
      <w:pPr>
        <w:spacing w:after="0" w:line="240" w:lineRule="auto"/>
      </w:pPr>
      <w:r>
        <w:separator/>
      </w:r>
    </w:p>
  </w:footnote>
  <w:footnote w:type="continuationSeparator" w:id="0">
    <w:p w14:paraId="12A41B84" w14:textId="77777777" w:rsidR="00BD129D" w:rsidRDefault="00BD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734979"/>
      <w:docPartObj>
        <w:docPartGallery w:val="Page Numbers (Top of Page)"/>
        <w:docPartUnique/>
      </w:docPartObj>
    </w:sdtPr>
    <w:sdtEndPr/>
    <w:sdtContent>
      <w:p w14:paraId="064596B1" w14:textId="62DF3FC1" w:rsidR="00DA27AC" w:rsidRDefault="00DA27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38" w:rsidRPr="00E71238">
          <w:rPr>
            <w:noProof/>
            <w:lang w:val="ru-RU"/>
          </w:rPr>
          <w:t>4</w:t>
        </w:r>
        <w:r>
          <w:fldChar w:fldCharType="end"/>
        </w:r>
      </w:p>
    </w:sdtContent>
  </w:sdt>
  <w:p w14:paraId="28C2E0A0" w14:textId="77777777" w:rsidR="007033B4" w:rsidRDefault="0027477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99DF" w14:textId="078607F9" w:rsidR="00DA27AC" w:rsidRDefault="00DA27AC">
    <w:pPr>
      <w:pStyle w:val="a3"/>
      <w:jc w:val="center"/>
    </w:pPr>
  </w:p>
  <w:p w14:paraId="6C667D82" w14:textId="77777777" w:rsidR="007033B4" w:rsidRDefault="0027477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35F3E"/>
    <w:multiLevelType w:val="hybridMultilevel"/>
    <w:tmpl w:val="790AF3F4"/>
    <w:lvl w:ilvl="0" w:tplc="E14EF7A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55"/>
    <w:rsid w:val="00090835"/>
    <w:rsid w:val="000C3A3B"/>
    <w:rsid w:val="00192C73"/>
    <w:rsid w:val="0027477D"/>
    <w:rsid w:val="003041B3"/>
    <w:rsid w:val="0033308E"/>
    <w:rsid w:val="003539FF"/>
    <w:rsid w:val="00400014"/>
    <w:rsid w:val="00416CB8"/>
    <w:rsid w:val="004319D4"/>
    <w:rsid w:val="004C16FD"/>
    <w:rsid w:val="004D2B3A"/>
    <w:rsid w:val="0054144E"/>
    <w:rsid w:val="00571A93"/>
    <w:rsid w:val="008F4EBD"/>
    <w:rsid w:val="00AA6755"/>
    <w:rsid w:val="00AF250A"/>
    <w:rsid w:val="00BC55E6"/>
    <w:rsid w:val="00BD129D"/>
    <w:rsid w:val="00D803B2"/>
    <w:rsid w:val="00DA27AC"/>
    <w:rsid w:val="00E71238"/>
    <w:rsid w:val="00F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80A6"/>
  <w15:docId w15:val="{695A282A-C36D-4656-BB1F-AD0F7D07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755"/>
    <w:rPr>
      <w:lang w:val="uk-UA"/>
    </w:rPr>
  </w:style>
  <w:style w:type="paragraph" w:styleId="a5">
    <w:name w:val="List Paragraph"/>
    <w:basedOn w:val="a"/>
    <w:uiPriority w:val="34"/>
    <w:qFormat/>
    <w:rsid w:val="00AA6755"/>
    <w:pPr>
      <w:ind w:left="720"/>
      <w:contextualSpacing/>
    </w:pPr>
  </w:style>
  <w:style w:type="character" w:styleId="a6">
    <w:name w:val="Strong"/>
    <w:basedOn w:val="a0"/>
    <w:uiPriority w:val="22"/>
    <w:qFormat/>
    <w:rsid w:val="00AA67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5E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A27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Моніч Богдан Сильвестрович</dc:creator>
  <cp:lastModifiedBy>Моніч Богдан Сильвестрович</cp:lastModifiedBy>
  <cp:revision>7</cp:revision>
  <dcterms:created xsi:type="dcterms:W3CDTF">2025-03-17T07:23:00Z</dcterms:created>
  <dcterms:modified xsi:type="dcterms:W3CDTF">2025-03-19T09:45:00Z</dcterms:modified>
</cp:coreProperties>
</file>